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35" w:rsidRPr="00E35F9B" w:rsidRDefault="00C22C35">
      <w:pPr>
        <w:rPr>
          <w:rFonts w:ascii="Arial" w:hAnsi="Arial" w:cs="Arial"/>
          <w:b/>
          <w:sz w:val="40"/>
          <w:szCs w:val="40"/>
        </w:rPr>
      </w:pPr>
      <w:r>
        <w:rPr>
          <w:rFonts w:ascii="Arial" w:hAnsi="Arial" w:cs="Arial"/>
          <w:b/>
          <w:sz w:val="24"/>
          <w:szCs w:val="24"/>
          <w:u w:val="single"/>
        </w:rPr>
        <w:t>General</w:t>
      </w:r>
    </w:p>
    <w:p w:rsidR="00C22C35" w:rsidRDefault="00674258" w:rsidP="007F4A38">
      <w:pPr>
        <w:rPr>
          <w:rFonts w:ascii="Arial" w:hAnsi="Arial" w:cs="Arial"/>
          <w:sz w:val="24"/>
          <w:szCs w:val="24"/>
        </w:rPr>
      </w:pPr>
      <w:proofErr w:type="spellStart"/>
      <w:r>
        <w:rPr>
          <w:rFonts w:ascii="Arial" w:hAnsi="Arial" w:cs="Arial"/>
          <w:sz w:val="24"/>
          <w:szCs w:val="24"/>
        </w:rPr>
        <w:t>Wellesbourne</w:t>
      </w:r>
      <w:proofErr w:type="spellEnd"/>
      <w:r>
        <w:rPr>
          <w:rFonts w:ascii="Arial" w:hAnsi="Arial" w:cs="Arial"/>
          <w:sz w:val="24"/>
          <w:szCs w:val="24"/>
        </w:rPr>
        <w:t xml:space="preserve"> Primary and Nursery S</w:t>
      </w:r>
      <w:r w:rsidR="00C22C35">
        <w:rPr>
          <w:rFonts w:ascii="Arial" w:hAnsi="Arial" w:cs="Arial"/>
          <w:sz w:val="24"/>
          <w:szCs w:val="24"/>
        </w:rPr>
        <w:t>chool has o</w:t>
      </w:r>
      <w:r w:rsidR="00D25B92">
        <w:rPr>
          <w:rFonts w:ascii="Arial" w:hAnsi="Arial" w:cs="Arial"/>
          <w:sz w:val="24"/>
          <w:szCs w:val="24"/>
        </w:rPr>
        <w:t>n</w:t>
      </w:r>
      <w:r w:rsidR="00653D45">
        <w:rPr>
          <w:rFonts w:ascii="Arial" w:hAnsi="Arial" w:cs="Arial"/>
          <w:sz w:val="24"/>
          <w:szCs w:val="24"/>
        </w:rPr>
        <w:t xml:space="preserve"> </w:t>
      </w:r>
      <w:r w:rsidR="007F4A38">
        <w:rPr>
          <w:rFonts w:ascii="Arial" w:hAnsi="Arial" w:cs="Arial"/>
          <w:sz w:val="24"/>
          <w:szCs w:val="24"/>
        </w:rPr>
        <w:t>overall SEND percentage of 26.9</w:t>
      </w:r>
      <w:r w:rsidR="00C41F3F">
        <w:rPr>
          <w:rFonts w:ascii="Arial" w:hAnsi="Arial" w:cs="Arial"/>
          <w:sz w:val="24"/>
          <w:szCs w:val="24"/>
        </w:rPr>
        <w:t xml:space="preserve"> this is similar to last year’s cohort</w:t>
      </w:r>
      <w:r w:rsidR="00CE7FCE">
        <w:rPr>
          <w:rFonts w:ascii="Arial" w:hAnsi="Arial" w:cs="Arial"/>
          <w:sz w:val="24"/>
          <w:szCs w:val="24"/>
        </w:rPr>
        <w:t xml:space="preserve"> at 27.6</w:t>
      </w:r>
      <w:r w:rsidR="007F4A38">
        <w:rPr>
          <w:rFonts w:ascii="Arial" w:hAnsi="Arial" w:cs="Arial"/>
          <w:sz w:val="24"/>
          <w:szCs w:val="24"/>
        </w:rPr>
        <w:t>.</w:t>
      </w:r>
      <w:r w:rsidR="00CE7FCE">
        <w:rPr>
          <w:rFonts w:ascii="Arial" w:hAnsi="Arial" w:cs="Arial"/>
          <w:sz w:val="24"/>
          <w:szCs w:val="24"/>
        </w:rPr>
        <w:t xml:space="preserve"> </w:t>
      </w:r>
      <w:r w:rsidR="00C22C35">
        <w:rPr>
          <w:rFonts w:ascii="Arial" w:hAnsi="Arial" w:cs="Arial"/>
          <w:sz w:val="24"/>
          <w:szCs w:val="24"/>
        </w:rPr>
        <w:t>This is above the national average</w:t>
      </w:r>
      <w:r w:rsidR="007F4A38">
        <w:rPr>
          <w:rFonts w:ascii="Arial" w:hAnsi="Arial" w:cs="Arial"/>
          <w:sz w:val="24"/>
          <w:szCs w:val="24"/>
        </w:rPr>
        <w:t>.</w:t>
      </w:r>
      <w:r w:rsidR="00C22C35">
        <w:rPr>
          <w:rFonts w:ascii="Arial" w:hAnsi="Arial" w:cs="Arial"/>
          <w:sz w:val="24"/>
          <w:szCs w:val="24"/>
        </w:rPr>
        <w:t xml:space="preserve"> </w:t>
      </w:r>
    </w:p>
    <w:p w:rsidR="00C22C35" w:rsidRDefault="00C22C35" w:rsidP="00E41ACB">
      <w:pPr>
        <w:jc w:val="both"/>
        <w:rPr>
          <w:rFonts w:ascii="Arial" w:hAnsi="Arial" w:cs="Arial"/>
          <w:sz w:val="24"/>
          <w:szCs w:val="24"/>
        </w:rPr>
      </w:pPr>
      <w:r>
        <w:rPr>
          <w:rFonts w:ascii="Arial" w:hAnsi="Arial" w:cs="Arial"/>
          <w:sz w:val="24"/>
          <w:szCs w:val="24"/>
        </w:rPr>
        <w:t>The in school breakdown is outlined below.</w:t>
      </w:r>
      <w:r w:rsidR="00CB493A">
        <w:rPr>
          <w:rFonts w:ascii="Arial" w:hAnsi="Arial" w:cs="Arial"/>
          <w:sz w:val="24"/>
          <w:szCs w:val="24"/>
        </w:rPr>
        <w:t xml:space="preserve"> </w:t>
      </w:r>
      <w:r w:rsidR="00DA2B52">
        <w:rPr>
          <w:rFonts w:ascii="Arial" w:hAnsi="Arial" w:cs="Arial"/>
          <w:sz w:val="24"/>
          <w:szCs w:val="24"/>
        </w:rPr>
        <w:t xml:space="preserve"> </w:t>
      </w:r>
    </w:p>
    <w:tbl>
      <w:tblPr>
        <w:tblStyle w:val="TableGrid"/>
        <w:tblW w:w="0" w:type="auto"/>
        <w:tblLook w:val="04A0" w:firstRow="1" w:lastRow="0" w:firstColumn="1" w:lastColumn="0" w:noHBand="0" w:noVBand="1"/>
      </w:tblPr>
      <w:tblGrid>
        <w:gridCol w:w="2310"/>
        <w:gridCol w:w="2311"/>
        <w:gridCol w:w="2311"/>
        <w:gridCol w:w="2311"/>
      </w:tblGrid>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 xml:space="preserve">Year group </w:t>
            </w:r>
          </w:p>
        </w:tc>
        <w:tc>
          <w:tcPr>
            <w:tcW w:w="2311" w:type="dxa"/>
          </w:tcPr>
          <w:p w:rsidR="00DA2B52" w:rsidRDefault="00DA2B52" w:rsidP="00E41ACB">
            <w:pPr>
              <w:jc w:val="both"/>
              <w:rPr>
                <w:rFonts w:ascii="Arial" w:hAnsi="Arial" w:cs="Arial"/>
                <w:sz w:val="24"/>
                <w:szCs w:val="24"/>
              </w:rPr>
            </w:pPr>
            <w:r>
              <w:rPr>
                <w:rFonts w:ascii="Arial" w:hAnsi="Arial" w:cs="Arial"/>
                <w:sz w:val="24"/>
                <w:szCs w:val="24"/>
              </w:rPr>
              <w:t>Number on roll</w:t>
            </w:r>
          </w:p>
        </w:tc>
        <w:tc>
          <w:tcPr>
            <w:tcW w:w="2311" w:type="dxa"/>
          </w:tcPr>
          <w:p w:rsidR="00DA2B52" w:rsidRDefault="00DA2B52" w:rsidP="00E41ACB">
            <w:pPr>
              <w:jc w:val="both"/>
              <w:rPr>
                <w:rFonts w:ascii="Arial" w:hAnsi="Arial" w:cs="Arial"/>
                <w:sz w:val="24"/>
                <w:szCs w:val="24"/>
              </w:rPr>
            </w:pPr>
            <w:r>
              <w:rPr>
                <w:rFonts w:ascii="Arial" w:hAnsi="Arial" w:cs="Arial"/>
                <w:sz w:val="24"/>
                <w:szCs w:val="24"/>
              </w:rPr>
              <w:t xml:space="preserve">SEND by Number </w:t>
            </w:r>
          </w:p>
        </w:tc>
        <w:tc>
          <w:tcPr>
            <w:tcW w:w="2311" w:type="dxa"/>
          </w:tcPr>
          <w:p w:rsidR="00DA2B52" w:rsidRDefault="00DA2B52" w:rsidP="00E41ACB">
            <w:pPr>
              <w:jc w:val="both"/>
              <w:rPr>
                <w:rFonts w:ascii="Arial" w:hAnsi="Arial" w:cs="Arial"/>
                <w:sz w:val="24"/>
                <w:szCs w:val="24"/>
              </w:rPr>
            </w:pPr>
            <w:r>
              <w:rPr>
                <w:rFonts w:ascii="Arial" w:hAnsi="Arial" w:cs="Arial"/>
                <w:sz w:val="24"/>
                <w:szCs w:val="24"/>
              </w:rPr>
              <w:t>% SEND</w:t>
            </w:r>
          </w:p>
        </w:tc>
      </w:tr>
      <w:tr w:rsidR="00DA2B52" w:rsidTr="0021484F">
        <w:tc>
          <w:tcPr>
            <w:tcW w:w="2310" w:type="dxa"/>
          </w:tcPr>
          <w:p w:rsidR="00DA2B52" w:rsidRDefault="00DA2B52" w:rsidP="001D0C83">
            <w:pPr>
              <w:rPr>
                <w:rFonts w:ascii="Arial" w:hAnsi="Arial" w:cs="Arial"/>
                <w:sz w:val="24"/>
                <w:szCs w:val="24"/>
              </w:rPr>
            </w:pPr>
            <w:r>
              <w:rPr>
                <w:rFonts w:ascii="Arial" w:hAnsi="Arial" w:cs="Arial"/>
                <w:sz w:val="24"/>
                <w:szCs w:val="24"/>
              </w:rPr>
              <w:t>Nursery</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45</w:t>
            </w:r>
          </w:p>
        </w:tc>
        <w:tc>
          <w:tcPr>
            <w:tcW w:w="2311" w:type="dxa"/>
          </w:tcPr>
          <w:p w:rsidR="00DA2B52" w:rsidRDefault="00DE7F6E" w:rsidP="00E41ACB">
            <w:pPr>
              <w:jc w:val="both"/>
              <w:rPr>
                <w:rFonts w:ascii="Arial" w:hAnsi="Arial" w:cs="Arial"/>
                <w:sz w:val="24"/>
                <w:szCs w:val="24"/>
              </w:rPr>
            </w:pPr>
            <w:r>
              <w:rPr>
                <w:rFonts w:ascii="Arial" w:hAnsi="Arial" w:cs="Arial"/>
                <w:sz w:val="24"/>
                <w:szCs w:val="24"/>
              </w:rPr>
              <w:t>12</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26.7</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Reception</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45</w:t>
            </w:r>
          </w:p>
        </w:tc>
        <w:tc>
          <w:tcPr>
            <w:tcW w:w="2311" w:type="dxa"/>
          </w:tcPr>
          <w:p w:rsidR="00DA2B52" w:rsidRDefault="00DE7F6E" w:rsidP="00E41ACB">
            <w:pPr>
              <w:jc w:val="both"/>
              <w:rPr>
                <w:rFonts w:ascii="Arial" w:hAnsi="Arial" w:cs="Arial"/>
                <w:sz w:val="24"/>
                <w:szCs w:val="24"/>
              </w:rPr>
            </w:pPr>
            <w:r>
              <w:rPr>
                <w:rFonts w:ascii="Arial" w:hAnsi="Arial" w:cs="Arial"/>
                <w:sz w:val="24"/>
                <w:szCs w:val="24"/>
              </w:rPr>
              <w:t>15</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33.3</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1</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49</w:t>
            </w:r>
          </w:p>
        </w:tc>
        <w:tc>
          <w:tcPr>
            <w:tcW w:w="2311" w:type="dxa"/>
          </w:tcPr>
          <w:p w:rsidR="00DA2B52" w:rsidRDefault="00DE7F6E" w:rsidP="00E41ACB">
            <w:pPr>
              <w:jc w:val="both"/>
              <w:rPr>
                <w:rFonts w:ascii="Arial" w:hAnsi="Arial" w:cs="Arial"/>
                <w:sz w:val="24"/>
                <w:szCs w:val="24"/>
              </w:rPr>
            </w:pPr>
            <w:r>
              <w:rPr>
                <w:rFonts w:ascii="Arial" w:hAnsi="Arial" w:cs="Arial"/>
                <w:sz w:val="24"/>
                <w:szCs w:val="24"/>
              </w:rPr>
              <w:t>13</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26.5</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2</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49</w:t>
            </w:r>
          </w:p>
        </w:tc>
        <w:tc>
          <w:tcPr>
            <w:tcW w:w="2311" w:type="dxa"/>
          </w:tcPr>
          <w:p w:rsidR="00DA2B52" w:rsidRDefault="00DE7F6E" w:rsidP="00E41ACB">
            <w:pPr>
              <w:jc w:val="both"/>
              <w:rPr>
                <w:rFonts w:ascii="Arial" w:hAnsi="Arial" w:cs="Arial"/>
                <w:sz w:val="24"/>
                <w:szCs w:val="24"/>
              </w:rPr>
            </w:pPr>
            <w:r>
              <w:rPr>
                <w:rFonts w:ascii="Arial" w:hAnsi="Arial" w:cs="Arial"/>
                <w:sz w:val="24"/>
                <w:szCs w:val="24"/>
              </w:rPr>
              <w:t>7</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14.2</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3</w:t>
            </w:r>
          </w:p>
        </w:tc>
        <w:tc>
          <w:tcPr>
            <w:tcW w:w="2311" w:type="dxa"/>
          </w:tcPr>
          <w:p w:rsidR="00DA2B52" w:rsidRDefault="00DA2B52" w:rsidP="00E41ACB">
            <w:pPr>
              <w:jc w:val="both"/>
              <w:rPr>
                <w:rFonts w:ascii="Arial" w:hAnsi="Arial" w:cs="Arial"/>
                <w:sz w:val="24"/>
                <w:szCs w:val="24"/>
              </w:rPr>
            </w:pPr>
            <w:r>
              <w:rPr>
                <w:rFonts w:ascii="Arial" w:hAnsi="Arial" w:cs="Arial"/>
                <w:sz w:val="24"/>
                <w:szCs w:val="24"/>
              </w:rPr>
              <w:t>50</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15</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30</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4</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49</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9</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18.3</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5</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49</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20</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40.8</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6</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50</w:t>
            </w:r>
          </w:p>
        </w:tc>
        <w:tc>
          <w:tcPr>
            <w:tcW w:w="2311" w:type="dxa"/>
          </w:tcPr>
          <w:p w:rsidR="00DA2B52" w:rsidRDefault="00CE7FCE" w:rsidP="00E41ACB">
            <w:pPr>
              <w:jc w:val="both"/>
              <w:rPr>
                <w:rFonts w:ascii="Arial" w:hAnsi="Arial" w:cs="Arial"/>
                <w:sz w:val="24"/>
                <w:szCs w:val="24"/>
              </w:rPr>
            </w:pPr>
            <w:r>
              <w:rPr>
                <w:rFonts w:ascii="Arial" w:hAnsi="Arial" w:cs="Arial"/>
                <w:sz w:val="24"/>
                <w:szCs w:val="24"/>
              </w:rPr>
              <w:t>13</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26</w:t>
            </w:r>
          </w:p>
        </w:tc>
      </w:tr>
      <w:tr w:rsidR="00DA2B52" w:rsidTr="0021484F">
        <w:tc>
          <w:tcPr>
            <w:tcW w:w="2310" w:type="dxa"/>
          </w:tcPr>
          <w:p w:rsidR="00DA2B52" w:rsidRDefault="00DA2B52" w:rsidP="00E41ACB">
            <w:pPr>
              <w:jc w:val="both"/>
              <w:rPr>
                <w:rFonts w:ascii="Arial" w:hAnsi="Arial" w:cs="Arial"/>
                <w:sz w:val="24"/>
                <w:szCs w:val="24"/>
              </w:rPr>
            </w:pPr>
            <w:r>
              <w:rPr>
                <w:rFonts w:ascii="Arial" w:hAnsi="Arial" w:cs="Arial"/>
                <w:sz w:val="24"/>
                <w:szCs w:val="24"/>
              </w:rPr>
              <w:t>Total</w:t>
            </w:r>
          </w:p>
        </w:tc>
        <w:tc>
          <w:tcPr>
            <w:tcW w:w="2311" w:type="dxa"/>
          </w:tcPr>
          <w:p w:rsidR="00DA2B52" w:rsidRDefault="006959C9" w:rsidP="00E41ACB">
            <w:pPr>
              <w:jc w:val="both"/>
              <w:rPr>
                <w:rFonts w:ascii="Arial" w:hAnsi="Arial" w:cs="Arial"/>
                <w:sz w:val="24"/>
                <w:szCs w:val="24"/>
              </w:rPr>
            </w:pPr>
            <w:r>
              <w:rPr>
                <w:rFonts w:ascii="Arial" w:hAnsi="Arial" w:cs="Arial"/>
                <w:sz w:val="24"/>
                <w:szCs w:val="24"/>
              </w:rPr>
              <w:t>386</w:t>
            </w:r>
          </w:p>
        </w:tc>
        <w:tc>
          <w:tcPr>
            <w:tcW w:w="2311" w:type="dxa"/>
          </w:tcPr>
          <w:p w:rsidR="00DA2B52" w:rsidRDefault="00CE7FCE" w:rsidP="00E41ACB">
            <w:pPr>
              <w:jc w:val="both"/>
              <w:rPr>
                <w:rFonts w:ascii="Arial" w:hAnsi="Arial" w:cs="Arial"/>
                <w:sz w:val="24"/>
                <w:szCs w:val="24"/>
              </w:rPr>
            </w:pPr>
            <w:r>
              <w:rPr>
                <w:rFonts w:ascii="Arial" w:hAnsi="Arial" w:cs="Arial"/>
                <w:sz w:val="24"/>
                <w:szCs w:val="24"/>
              </w:rPr>
              <w:t>104</w:t>
            </w:r>
          </w:p>
        </w:tc>
        <w:tc>
          <w:tcPr>
            <w:tcW w:w="2311" w:type="dxa"/>
          </w:tcPr>
          <w:p w:rsidR="00DA2B52" w:rsidRDefault="007F4A38" w:rsidP="00E41ACB">
            <w:pPr>
              <w:jc w:val="both"/>
              <w:rPr>
                <w:rFonts w:ascii="Arial" w:hAnsi="Arial" w:cs="Arial"/>
                <w:sz w:val="24"/>
                <w:szCs w:val="24"/>
              </w:rPr>
            </w:pPr>
            <w:r>
              <w:rPr>
                <w:rFonts w:ascii="Arial" w:hAnsi="Arial" w:cs="Arial"/>
                <w:sz w:val="24"/>
                <w:szCs w:val="24"/>
              </w:rPr>
              <w:t>26.9</w:t>
            </w:r>
          </w:p>
        </w:tc>
      </w:tr>
    </w:tbl>
    <w:p w:rsidR="00D25B92" w:rsidRDefault="00D25B92" w:rsidP="00E41ACB">
      <w:pPr>
        <w:jc w:val="both"/>
        <w:rPr>
          <w:rFonts w:ascii="Arial" w:hAnsi="Arial" w:cs="Arial"/>
          <w:sz w:val="24"/>
          <w:szCs w:val="24"/>
        </w:rPr>
      </w:pPr>
    </w:p>
    <w:p w:rsidR="00AE26E5" w:rsidRDefault="00AE7168" w:rsidP="00E41ACB">
      <w:pPr>
        <w:jc w:val="both"/>
        <w:rPr>
          <w:rFonts w:ascii="Arial" w:hAnsi="Arial" w:cs="Arial"/>
          <w:sz w:val="24"/>
          <w:szCs w:val="24"/>
        </w:rPr>
      </w:pPr>
      <w:r>
        <w:rPr>
          <w:rFonts w:ascii="Arial" w:hAnsi="Arial" w:cs="Arial"/>
          <w:sz w:val="24"/>
          <w:szCs w:val="24"/>
        </w:rPr>
        <w:t>Currently the school has 3</w:t>
      </w:r>
      <w:r w:rsidR="00AE26E5">
        <w:rPr>
          <w:rFonts w:ascii="Arial" w:hAnsi="Arial" w:cs="Arial"/>
          <w:sz w:val="24"/>
          <w:szCs w:val="24"/>
        </w:rPr>
        <w:t xml:space="preserve"> pupils with</w:t>
      </w:r>
      <w:r w:rsidR="00BD5650">
        <w:rPr>
          <w:rFonts w:ascii="Arial" w:hAnsi="Arial" w:cs="Arial"/>
          <w:sz w:val="24"/>
          <w:szCs w:val="24"/>
        </w:rPr>
        <w:t xml:space="preserve"> an</w:t>
      </w:r>
      <w:r w:rsidR="00AE26E5">
        <w:rPr>
          <w:rFonts w:ascii="Arial" w:hAnsi="Arial" w:cs="Arial"/>
          <w:sz w:val="24"/>
          <w:szCs w:val="24"/>
        </w:rPr>
        <w:t xml:space="preserve"> </w:t>
      </w:r>
      <w:r w:rsidR="00BD5650">
        <w:rPr>
          <w:rFonts w:ascii="Arial" w:hAnsi="Arial" w:cs="Arial"/>
          <w:sz w:val="24"/>
          <w:szCs w:val="24"/>
        </w:rPr>
        <w:t>educational health care plan</w:t>
      </w:r>
      <w:r w:rsidR="00B7383C">
        <w:rPr>
          <w:rFonts w:ascii="Arial" w:hAnsi="Arial" w:cs="Arial"/>
          <w:sz w:val="24"/>
          <w:szCs w:val="24"/>
        </w:rPr>
        <w:t>. 3</w:t>
      </w:r>
      <w:r w:rsidR="00AE26E5">
        <w:rPr>
          <w:rFonts w:ascii="Arial" w:hAnsi="Arial" w:cs="Arial"/>
          <w:sz w:val="24"/>
          <w:szCs w:val="24"/>
        </w:rPr>
        <w:t xml:space="preserve"> more applications are currently being processed.</w:t>
      </w:r>
    </w:p>
    <w:p w:rsidR="00B7383C" w:rsidRDefault="00B7383C" w:rsidP="00E41ACB">
      <w:pPr>
        <w:jc w:val="both"/>
        <w:rPr>
          <w:rFonts w:ascii="Arial" w:hAnsi="Arial" w:cs="Arial"/>
          <w:sz w:val="24"/>
          <w:szCs w:val="24"/>
        </w:rPr>
      </w:pPr>
      <w:r>
        <w:rPr>
          <w:rFonts w:ascii="Arial" w:hAnsi="Arial" w:cs="Arial"/>
          <w:sz w:val="24"/>
          <w:szCs w:val="24"/>
        </w:rPr>
        <w:t>We have 2 children who are on role but educated off site.</w:t>
      </w:r>
    </w:p>
    <w:p w:rsidR="00C22C35" w:rsidRDefault="00C22C35" w:rsidP="00E41ACB">
      <w:pPr>
        <w:jc w:val="both"/>
        <w:rPr>
          <w:rFonts w:ascii="Arial" w:hAnsi="Arial" w:cs="Arial"/>
          <w:sz w:val="24"/>
          <w:szCs w:val="24"/>
        </w:rPr>
      </w:pPr>
      <w:r>
        <w:rPr>
          <w:rFonts w:ascii="Arial" w:hAnsi="Arial" w:cs="Arial"/>
          <w:sz w:val="24"/>
          <w:szCs w:val="24"/>
        </w:rPr>
        <w:t xml:space="preserve">Children in the </w:t>
      </w:r>
      <w:r w:rsidR="005C10FC">
        <w:rPr>
          <w:rFonts w:ascii="Arial" w:hAnsi="Arial" w:cs="Arial"/>
          <w:sz w:val="24"/>
          <w:szCs w:val="24"/>
        </w:rPr>
        <w:t xml:space="preserve">school present a </w:t>
      </w:r>
      <w:r>
        <w:rPr>
          <w:rFonts w:ascii="Arial" w:hAnsi="Arial" w:cs="Arial"/>
          <w:sz w:val="24"/>
          <w:szCs w:val="24"/>
        </w:rPr>
        <w:t>range of SEND n</w:t>
      </w:r>
      <w:r w:rsidR="00BC557D">
        <w:rPr>
          <w:rFonts w:ascii="Arial" w:hAnsi="Arial" w:cs="Arial"/>
          <w:sz w:val="24"/>
          <w:szCs w:val="24"/>
        </w:rPr>
        <w:t>eeds including ASD, ADHD, MLD, e</w:t>
      </w:r>
      <w:r>
        <w:rPr>
          <w:rFonts w:ascii="Arial" w:hAnsi="Arial" w:cs="Arial"/>
          <w:sz w:val="24"/>
          <w:szCs w:val="24"/>
        </w:rPr>
        <w:t>pilepsy, hearing impairment, dyslexia, and dyspraxia.</w:t>
      </w:r>
      <w:r w:rsidR="00C41F3F">
        <w:rPr>
          <w:rFonts w:ascii="Arial" w:hAnsi="Arial" w:cs="Arial"/>
          <w:sz w:val="24"/>
          <w:szCs w:val="24"/>
        </w:rPr>
        <w:t xml:space="preserve"> ASD diagnosis </w:t>
      </w:r>
      <w:r w:rsidR="006861AF">
        <w:rPr>
          <w:rFonts w:ascii="Arial" w:hAnsi="Arial" w:cs="Arial"/>
          <w:sz w:val="24"/>
          <w:szCs w:val="24"/>
        </w:rPr>
        <w:t>particularly</w:t>
      </w:r>
      <w:r w:rsidR="00C41F3F">
        <w:rPr>
          <w:rFonts w:ascii="Arial" w:hAnsi="Arial" w:cs="Arial"/>
          <w:sz w:val="24"/>
          <w:szCs w:val="24"/>
        </w:rPr>
        <w:t xml:space="preserve"> in lower years is rising notably.</w:t>
      </w:r>
    </w:p>
    <w:p w:rsidR="00AE26E5" w:rsidRDefault="00AE26E5" w:rsidP="00E41ACB">
      <w:pPr>
        <w:jc w:val="both"/>
        <w:rPr>
          <w:rFonts w:ascii="Arial" w:hAnsi="Arial" w:cs="Arial"/>
          <w:sz w:val="24"/>
          <w:szCs w:val="24"/>
        </w:rPr>
      </w:pPr>
      <w:r>
        <w:rPr>
          <w:rFonts w:ascii="Arial" w:hAnsi="Arial" w:cs="Arial"/>
          <w:sz w:val="24"/>
          <w:szCs w:val="24"/>
        </w:rPr>
        <w:t xml:space="preserve">The </w:t>
      </w:r>
      <w:r w:rsidR="00432B6E">
        <w:rPr>
          <w:rFonts w:ascii="Arial" w:hAnsi="Arial" w:cs="Arial"/>
          <w:sz w:val="24"/>
          <w:szCs w:val="24"/>
        </w:rPr>
        <w:t xml:space="preserve">rising </w:t>
      </w:r>
      <w:r>
        <w:rPr>
          <w:rFonts w:ascii="Arial" w:hAnsi="Arial" w:cs="Arial"/>
          <w:sz w:val="24"/>
          <w:szCs w:val="24"/>
        </w:rPr>
        <w:t xml:space="preserve">SEND percentage reflects the national trend of early identification and diagnosis. </w:t>
      </w:r>
    </w:p>
    <w:p w:rsidR="00C22C35" w:rsidRDefault="00C41F3F" w:rsidP="00E41ACB">
      <w:pPr>
        <w:jc w:val="both"/>
        <w:rPr>
          <w:rFonts w:ascii="Arial" w:hAnsi="Arial" w:cs="Arial"/>
          <w:sz w:val="24"/>
          <w:szCs w:val="24"/>
        </w:rPr>
      </w:pPr>
      <w:r>
        <w:rPr>
          <w:rFonts w:ascii="Arial" w:hAnsi="Arial" w:cs="Arial"/>
          <w:sz w:val="24"/>
          <w:szCs w:val="24"/>
        </w:rPr>
        <w:t>Early indications from observation and transition visits to external nursery providers suggests that this year’s nursery will have significant numbers of SEND pupils. This includes an increased number of more complex ASD pupils this reflects a local trend collated at consortia.</w:t>
      </w:r>
      <w:r w:rsidR="00D22F5E">
        <w:rPr>
          <w:rFonts w:ascii="Arial" w:hAnsi="Arial" w:cs="Arial"/>
          <w:sz w:val="24"/>
          <w:szCs w:val="24"/>
        </w:rPr>
        <w:t xml:space="preserve"> </w:t>
      </w:r>
      <w:r w:rsidR="00C22C35">
        <w:rPr>
          <w:rFonts w:ascii="Arial" w:hAnsi="Arial" w:cs="Arial"/>
          <w:sz w:val="24"/>
          <w:szCs w:val="24"/>
        </w:rPr>
        <w:t>The school provides for</w:t>
      </w:r>
      <w:r w:rsidR="005C10FC">
        <w:rPr>
          <w:rFonts w:ascii="Arial" w:hAnsi="Arial" w:cs="Arial"/>
          <w:sz w:val="24"/>
          <w:szCs w:val="24"/>
        </w:rPr>
        <w:t xml:space="preserve"> these needs using the Assess, Plan Do and R</w:t>
      </w:r>
      <w:r w:rsidR="00C22C35">
        <w:rPr>
          <w:rFonts w:ascii="Arial" w:hAnsi="Arial" w:cs="Arial"/>
          <w:sz w:val="24"/>
          <w:szCs w:val="24"/>
        </w:rPr>
        <w:t>eview pro</w:t>
      </w:r>
      <w:r w:rsidR="00BC557D">
        <w:rPr>
          <w:rFonts w:ascii="Arial" w:hAnsi="Arial" w:cs="Arial"/>
          <w:sz w:val="24"/>
          <w:szCs w:val="24"/>
        </w:rPr>
        <w:t>cess highlighted in the 2015</w:t>
      </w:r>
      <w:r w:rsidR="00C22C35">
        <w:rPr>
          <w:rFonts w:ascii="Arial" w:hAnsi="Arial" w:cs="Arial"/>
          <w:sz w:val="24"/>
          <w:szCs w:val="24"/>
        </w:rPr>
        <w:t xml:space="preserve"> SEND Code of practice.</w:t>
      </w:r>
    </w:p>
    <w:p w:rsidR="00C22C35" w:rsidRDefault="00C22C35" w:rsidP="00E41ACB">
      <w:pPr>
        <w:jc w:val="both"/>
        <w:rPr>
          <w:rFonts w:ascii="Arial" w:hAnsi="Arial" w:cs="Arial"/>
          <w:sz w:val="24"/>
          <w:szCs w:val="24"/>
        </w:rPr>
      </w:pPr>
      <w:r>
        <w:rPr>
          <w:rFonts w:ascii="Arial" w:hAnsi="Arial" w:cs="Arial"/>
          <w:sz w:val="24"/>
          <w:szCs w:val="24"/>
        </w:rPr>
        <w:lastRenderedPageBreak/>
        <w:t>Send provision in the school is firmly based upon a ‘Quality First Teaching’ approach.</w:t>
      </w:r>
    </w:p>
    <w:p w:rsidR="00E41ACB" w:rsidRDefault="00C22C35" w:rsidP="00E41ACB">
      <w:pPr>
        <w:jc w:val="both"/>
        <w:rPr>
          <w:rFonts w:ascii="Arial" w:hAnsi="Arial" w:cs="Arial"/>
          <w:sz w:val="24"/>
          <w:szCs w:val="24"/>
        </w:rPr>
      </w:pPr>
      <w:r>
        <w:rPr>
          <w:rFonts w:ascii="Arial" w:hAnsi="Arial" w:cs="Arial"/>
          <w:sz w:val="24"/>
          <w:szCs w:val="24"/>
        </w:rPr>
        <w:t xml:space="preserve">SEND </w:t>
      </w:r>
      <w:r w:rsidR="00E41ACB">
        <w:rPr>
          <w:rFonts w:ascii="Arial" w:hAnsi="Arial" w:cs="Arial"/>
          <w:sz w:val="24"/>
          <w:szCs w:val="24"/>
        </w:rPr>
        <w:t>provision in the school is led b</w:t>
      </w:r>
      <w:r>
        <w:rPr>
          <w:rFonts w:ascii="Arial" w:hAnsi="Arial" w:cs="Arial"/>
          <w:sz w:val="24"/>
          <w:szCs w:val="24"/>
        </w:rPr>
        <w:t xml:space="preserve">y the School </w:t>
      </w:r>
      <w:proofErr w:type="spellStart"/>
      <w:r>
        <w:rPr>
          <w:rFonts w:ascii="Arial" w:hAnsi="Arial" w:cs="Arial"/>
          <w:sz w:val="24"/>
          <w:szCs w:val="24"/>
        </w:rPr>
        <w:t>SEN</w:t>
      </w:r>
      <w:r w:rsidR="00E35F9B">
        <w:rPr>
          <w:rFonts w:ascii="Arial" w:hAnsi="Arial" w:cs="Arial"/>
          <w:sz w:val="24"/>
          <w:szCs w:val="24"/>
        </w:rPr>
        <w:t>D</w:t>
      </w:r>
      <w:r>
        <w:rPr>
          <w:rFonts w:ascii="Arial" w:hAnsi="Arial" w:cs="Arial"/>
          <w:sz w:val="24"/>
          <w:szCs w:val="24"/>
        </w:rPr>
        <w:t>Co</w:t>
      </w:r>
      <w:proofErr w:type="spellEnd"/>
      <w:r w:rsidR="00E41ACB">
        <w:rPr>
          <w:rFonts w:ascii="Arial" w:hAnsi="Arial" w:cs="Arial"/>
          <w:sz w:val="24"/>
          <w:szCs w:val="24"/>
        </w:rPr>
        <w:t>;</w:t>
      </w:r>
      <w:r w:rsidR="00513B71">
        <w:rPr>
          <w:rFonts w:ascii="Arial" w:hAnsi="Arial" w:cs="Arial"/>
          <w:sz w:val="24"/>
          <w:szCs w:val="24"/>
        </w:rPr>
        <w:t xml:space="preserve"> </w:t>
      </w:r>
      <w:r w:rsidR="00E41ACB" w:rsidRPr="00513B71">
        <w:rPr>
          <w:rFonts w:ascii="Arial" w:hAnsi="Arial" w:cs="Arial"/>
          <w:b/>
          <w:sz w:val="24"/>
          <w:szCs w:val="24"/>
        </w:rPr>
        <w:t xml:space="preserve">Mr M </w:t>
      </w:r>
      <w:proofErr w:type="spellStart"/>
      <w:r w:rsidR="00E41ACB" w:rsidRPr="00513B71">
        <w:rPr>
          <w:rFonts w:ascii="Arial" w:hAnsi="Arial" w:cs="Arial"/>
          <w:b/>
          <w:sz w:val="24"/>
          <w:szCs w:val="24"/>
        </w:rPr>
        <w:t>Helme</w:t>
      </w:r>
      <w:proofErr w:type="spellEnd"/>
      <w:r w:rsidR="00AE7168">
        <w:rPr>
          <w:rFonts w:ascii="Arial" w:hAnsi="Arial" w:cs="Arial"/>
          <w:sz w:val="24"/>
          <w:szCs w:val="24"/>
        </w:rPr>
        <w:t xml:space="preserve"> (teacher 14</w:t>
      </w:r>
      <w:r w:rsidR="00E41ACB">
        <w:rPr>
          <w:rFonts w:ascii="Arial" w:hAnsi="Arial" w:cs="Arial"/>
          <w:sz w:val="24"/>
          <w:szCs w:val="24"/>
        </w:rPr>
        <w:t xml:space="preserve"> years SLT Post grad cert SEN).</w:t>
      </w:r>
    </w:p>
    <w:p w:rsidR="00E41ACB" w:rsidRPr="00513B71" w:rsidRDefault="00513B71" w:rsidP="00E41ACB">
      <w:pPr>
        <w:rPr>
          <w:rFonts w:ascii="Arial" w:hAnsi="Arial" w:cs="Arial"/>
          <w:b/>
          <w:sz w:val="24"/>
          <w:szCs w:val="24"/>
          <w:u w:val="single"/>
        </w:rPr>
      </w:pPr>
      <w:r>
        <w:rPr>
          <w:rFonts w:ascii="Arial" w:hAnsi="Arial" w:cs="Arial"/>
          <w:b/>
          <w:sz w:val="24"/>
          <w:szCs w:val="24"/>
          <w:u w:val="single"/>
        </w:rPr>
        <w:t>Administration.</w:t>
      </w:r>
    </w:p>
    <w:p w:rsidR="00E41ACB" w:rsidRDefault="00E41ACB" w:rsidP="00E41ACB">
      <w:pPr>
        <w:rPr>
          <w:rFonts w:ascii="Arial" w:hAnsi="Arial" w:cs="Arial"/>
          <w:sz w:val="24"/>
          <w:szCs w:val="24"/>
        </w:rPr>
      </w:pPr>
      <w:r>
        <w:rPr>
          <w:rFonts w:ascii="Arial" w:hAnsi="Arial" w:cs="Arial"/>
          <w:sz w:val="24"/>
          <w:szCs w:val="24"/>
        </w:rPr>
        <w:t xml:space="preserve">The school </w:t>
      </w:r>
      <w:r w:rsidR="00BD5650">
        <w:rPr>
          <w:rFonts w:ascii="Arial" w:hAnsi="Arial" w:cs="Arial"/>
          <w:sz w:val="24"/>
          <w:szCs w:val="24"/>
        </w:rPr>
        <w:t>Send policy was reviewed in 2016</w:t>
      </w:r>
      <w:r>
        <w:rPr>
          <w:rFonts w:ascii="Arial" w:hAnsi="Arial" w:cs="Arial"/>
          <w:sz w:val="24"/>
          <w:szCs w:val="24"/>
        </w:rPr>
        <w:t xml:space="preserve"> in line with the introduction of the new code of practice. </w:t>
      </w:r>
    </w:p>
    <w:p w:rsidR="00513B71" w:rsidRDefault="00513B71" w:rsidP="00E41ACB">
      <w:pPr>
        <w:rPr>
          <w:rFonts w:ascii="Arial" w:hAnsi="Arial" w:cs="Arial"/>
          <w:sz w:val="24"/>
          <w:szCs w:val="24"/>
        </w:rPr>
      </w:pPr>
      <w:r>
        <w:rPr>
          <w:rFonts w:ascii="Arial" w:hAnsi="Arial" w:cs="Arial"/>
          <w:sz w:val="24"/>
          <w:szCs w:val="24"/>
        </w:rPr>
        <w:t xml:space="preserve">The school is fully compliant with the local offer </w:t>
      </w:r>
      <w:r w:rsidR="00C7620C">
        <w:rPr>
          <w:rFonts w:ascii="Arial" w:hAnsi="Arial" w:cs="Arial"/>
          <w:sz w:val="24"/>
          <w:szCs w:val="24"/>
        </w:rPr>
        <w:t>and our own provision was</w:t>
      </w:r>
      <w:r>
        <w:rPr>
          <w:rFonts w:ascii="Arial" w:hAnsi="Arial" w:cs="Arial"/>
          <w:sz w:val="24"/>
          <w:szCs w:val="24"/>
        </w:rPr>
        <w:t xml:space="preserve"> review</w:t>
      </w:r>
      <w:r w:rsidR="00C7620C">
        <w:rPr>
          <w:rFonts w:ascii="Arial" w:hAnsi="Arial" w:cs="Arial"/>
          <w:sz w:val="24"/>
          <w:szCs w:val="24"/>
        </w:rPr>
        <w:t>ed</w:t>
      </w:r>
      <w:r w:rsidR="00F76A26">
        <w:rPr>
          <w:rFonts w:ascii="Arial" w:hAnsi="Arial" w:cs="Arial"/>
          <w:sz w:val="24"/>
          <w:szCs w:val="24"/>
        </w:rPr>
        <w:t xml:space="preserve"> in Februa</w:t>
      </w:r>
      <w:r w:rsidR="00AE7168">
        <w:rPr>
          <w:rFonts w:ascii="Arial" w:hAnsi="Arial" w:cs="Arial"/>
          <w:sz w:val="24"/>
          <w:szCs w:val="24"/>
        </w:rPr>
        <w:t>ry 2018</w:t>
      </w:r>
      <w:r>
        <w:rPr>
          <w:rFonts w:ascii="Arial" w:hAnsi="Arial" w:cs="Arial"/>
          <w:sz w:val="24"/>
          <w:szCs w:val="24"/>
        </w:rPr>
        <w:t>.</w:t>
      </w:r>
    </w:p>
    <w:p w:rsidR="00B14C41" w:rsidRDefault="00B14C41" w:rsidP="00E41ACB">
      <w:pPr>
        <w:rPr>
          <w:rFonts w:ascii="Arial" w:hAnsi="Arial" w:cs="Arial"/>
          <w:sz w:val="24"/>
          <w:szCs w:val="24"/>
        </w:rPr>
      </w:pPr>
      <w:r>
        <w:rPr>
          <w:rFonts w:ascii="Arial" w:hAnsi="Arial" w:cs="Arial"/>
          <w:sz w:val="24"/>
          <w:szCs w:val="24"/>
        </w:rPr>
        <w:t>Class room support and intervention is monitored termly against success criteria and staff are supported in reviewing provision based upon its effectiveness.</w:t>
      </w:r>
      <w:r w:rsidR="00C7620C">
        <w:rPr>
          <w:rFonts w:ascii="Arial" w:hAnsi="Arial" w:cs="Arial"/>
          <w:sz w:val="24"/>
          <w:szCs w:val="24"/>
        </w:rPr>
        <w:t xml:space="preserve"> This is aligned with whole school tracking by use of the ‘Target Tracker’ system.</w:t>
      </w:r>
      <w:r w:rsidR="00FF389A">
        <w:rPr>
          <w:rFonts w:ascii="Arial" w:hAnsi="Arial" w:cs="Arial"/>
          <w:sz w:val="24"/>
          <w:szCs w:val="24"/>
        </w:rPr>
        <w:t xml:space="preserve"> Interventions are under the ‘Code of Practice’ the responsibility of class teachers and these are aligned </w:t>
      </w:r>
      <w:r w:rsidR="00BC557D">
        <w:rPr>
          <w:rFonts w:ascii="Arial" w:hAnsi="Arial" w:cs="Arial"/>
          <w:sz w:val="24"/>
          <w:szCs w:val="24"/>
        </w:rPr>
        <w:t>against pupils Key Performance I</w:t>
      </w:r>
      <w:r w:rsidR="00FF389A">
        <w:rPr>
          <w:rFonts w:ascii="Arial" w:hAnsi="Arial" w:cs="Arial"/>
          <w:sz w:val="24"/>
          <w:szCs w:val="24"/>
        </w:rPr>
        <w:t xml:space="preserve">ndicators. </w:t>
      </w:r>
    </w:p>
    <w:p w:rsidR="00D25B92" w:rsidRDefault="00D25B92" w:rsidP="00E41ACB">
      <w:pPr>
        <w:rPr>
          <w:rFonts w:ascii="Arial" w:hAnsi="Arial" w:cs="Arial"/>
          <w:sz w:val="24"/>
          <w:szCs w:val="24"/>
        </w:rPr>
      </w:pPr>
      <w:r>
        <w:rPr>
          <w:rFonts w:ascii="Arial" w:hAnsi="Arial" w:cs="Arial"/>
          <w:sz w:val="24"/>
          <w:szCs w:val="24"/>
        </w:rPr>
        <w:t>Similarly the school’s use of pupil premium money to support disadvantages pupils is also monitor</w:t>
      </w:r>
      <w:r w:rsidR="00BC557D">
        <w:rPr>
          <w:rFonts w:ascii="Arial" w:hAnsi="Arial" w:cs="Arial"/>
          <w:sz w:val="24"/>
          <w:szCs w:val="24"/>
        </w:rPr>
        <w:t>ed and evaluated.</w:t>
      </w:r>
    </w:p>
    <w:p w:rsidR="00B14C41" w:rsidRDefault="00B14C41" w:rsidP="00E41ACB">
      <w:pPr>
        <w:rPr>
          <w:rFonts w:ascii="Arial" w:hAnsi="Arial" w:cs="Arial"/>
          <w:sz w:val="24"/>
          <w:szCs w:val="24"/>
        </w:rPr>
      </w:pPr>
      <w:r>
        <w:rPr>
          <w:rFonts w:ascii="Arial" w:hAnsi="Arial" w:cs="Arial"/>
          <w:sz w:val="24"/>
          <w:szCs w:val="24"/>
        </w:rPr>
        <w:t>It is the schools belief that interventions should be academically proven, smartly delivered and tailored to the needs of the pupils.</w:t>
      </w:r>
      <w:r w:rsidR="00D25B92">
        <w:rPr>
          <w:rFonts w:ascii="Arial" w:hAnsi="Arial" w:cs="Arial"/>
          <w:sz w:val="24"/>
          <w:szCs w:val="24"/>
        </w:rPr>
        <w:t xml:space="preserve"> Accordingly each term teachers are encouraged and supported to evaluate intervention effectiveness and the rational for continued support for pupils with specific needs.</w:t>
      </w:r>
    </w:p>
    <w:p w:rsidR="00513B71" w:rsidRDefault="00513B71" w:rsidP="00E41ACB">
      <w:pPr>
        <w:rPr>
          <w:rFonts w:ascii="Arial" w:hAnsi="Arial" w:cs="Arial"/>
          <w:b/>
          <w:sz w:val="24"/>
          <w:szCs w:val="24"/>
          <w:u w:val="single"/>
        </w:rPr>
      </w:pPr>
      <w:r>
        <w:rPr>
          <w:rFonts w:ascii="Arial" w:hAnsi="Arial" w:cs="Arial"/>
          <w:b/>
          <w:sz w:val="24"/>
          <w:szCs w:val="24"/>
          <w:u w:val="single"/>
        </w:rPr>
        <w:t>In School P</w:t>
      </w:r>
      <w:r w:rsidRPr="00513B71">
        <w:rPr>
          <w:rFonts w:ascii="Arial" w:hAnsi="Arial" w:cs="Arial"/>
          <w:b/>
          <w:sz w:val="24"/>
          <w:szCs w:val="24"/>
          <w:u w:val="single"/>
        </w:rPr>
        <w:t>rovision.</w:t>
      </w:r>
    </w:p>
    <w:p w:rsidR="00513B71" w:rsidRDefault="00513B71" w:rsidP="00E41ACB">
      <w:pPr>
        <w:rPr>
          <w:rFonts w:ascii="Arial" w:hAnsi="Arial" w:cs="Arial"/>
          <w:sz w:val="24"/>
          <w:szCs w:val="24"/>
        </w:rPr>
      </w:pPr>
      <w:r w:rsidRPr="00513B71">
        <w:rPr>
          <w:rFonts w:ascii="Arial" w:hAnsi="Arial" w:cs="Arial"/>
          <w:sz w:val="24"/>
          <w:szCs w:val="24"/>
        </w:rPr>
        <w:t xml:space="preserve">The </w:t>
      </w:r>
      <w:r>
        <w:rPr>
          <w:rFonts w:ascii="Arial" w:hAnsi="Arial" w:cs="Arial"/>
          <w:sz w:val="24"/>
          <w:szCs w:val="24"/>
        </w:rPr>
        <w:t>school ethos of providing quality first teaching is demonstrated in all key stages.</w:t>
      </w:r>
    </w:p>
    <w:p w:rsidR="00513B71" w:rsidRDefault="00513B71" w:rsidP="00E41ACB">
      <w:pPr>
        <w:rPr>
          <w:rFonts w:ascii="Arial" w:hAnsi="Arial" w:cs="Arial"/>
          <w:sz w:val="24"/>
          <w:szCs w:val="24"/>
        </w:rPr>
      </w:pPr>
      <w:r>
        <w:rPr>
          <w:rFonts w:ascii="Arial" w:hAnsi="Arial" w:cs="Arial"/>
          <w:sz w:val="24"/>
          <w:szCs w:val="24"/>
        </w:rPr>
        <w:t>Staffing is structured to maximise the support for SEND pupils and allows class and group sizes to remain at a manageable size. This promotes learning and maximises the potential to provide accurately differentiated work at all times.</w:t>
      </w:r>
    </w:p>
    <w:p w:rsidR="006235E5" w:rsidRDefault="006235E5" w:rsidP="00E41ACB">
      <w:pPr>
        <w:rPr>
          <w:rFonts w:ascii="Arial" w:hAnsi="Arial" w:cs="Arial"/>
          <w:sz w:val="24"/>
          <w:szCs w:val="24"/>
        </w:rPr>
      </w:pPr>
    </w:p>
    <w:p w:rsidR="006235E5" w:rsidRDefault="006235E5" w:rsidP="00E41ACB">
      <w:pPr>
        <w:rPr>
          <w:rFonts w:ascii="Arial" w:hAnsi="Arial" w:cs="Arial"/>
          <w:sz w:val="24"/>
          <w:szCs w:val="24"/>
        </w:rPr>
      </w:pPr>
    </w:p>
    <w:p w:rsidR="006861AF" w:rsidRDefault="006861AF" w:rsidP="006235E5">
      <w:pPr>
        <w:rPr>
          <w:rFonts w:ascii="Arial" w:hAnsi="Arial" w:cs="Arial"/>
          <w:b/>
          <w:sz w:val="24"/>
          <w:szCs w:val="24"/>
          <w:u w:val="single"/>
        </w:rPr>
      </w:pPr>
    </w:p>
    <w:p w:rsidR="006235E5" w:rsidRPr="00806444" w:rsidRDefault="006235E5" w:rsidP="006235E5">
      <w:pPr>
        <w:rPr>
          <w:rFonts w:ascii="Arial" w:hAnsi="Arial" w:cs="Arial"/>
          <w:b/>
          <w:sz w:val="24"/>
          <w:szCs w:val="24"/>
          <w:u w:val="single"/>
        </w:rPr>
      </w:pPr>
      <w:r w:rsidRPr="00806444">
        <w:rPr>
          <w:rFonts w:ascii="Arial" w:hAnsi="Arial" w:cs="Arial"/>
          <w:b/>
          <w:sz w:val="24"/>
          <w:szCs w:val="24"/>
          <w:u w:val="single"/>
        </w:rPr>
        <w:lastRenderedPageBreak/>
        <w:t>Staffing Structure</w:t>
      </w:r>
    </w:p>
    <w:p w:rsidR="00674258" w:rsidRDefault="006235E5" w:rsidP="00E41ACB">
      <w:pPr>
        <w:rPr>
          <w:rFonts w:ascii="Arial" w:hAnsi="Arial" w:cs="Arial"/>
          <w:sz w:val="24"/>
          <w:szCs w:val="24"/>
        </w:rPr>
      </w:pPr>
      <w:r>
        <w:rPr>
          <w:rFonts w:ascii="Arial" w:hAnsi="Arial" w:cs="Arial"/>
          <w:sz w:val="24"/>
          <w:szCs w:val="24"/>
        </w:rPr>
        <w:t>The school has provided a thir</w:t>
      </w:r>
      <w:r w:rsidR="00AE7168">
        <w:rPr>
          <w:rFonts w:ascii="Arial" w:hAnsi="Arial" w:cs="Arial"/>
          <w:sz w:val="24"/>
          <w:szCs w:val="24"/>
        </w:rPr>
        <w:t>d teacher in</w:t>
      </w:r>
      <w:r w:rsidR="00BD5650">
        <w:rPr>
          <w:rFonts w:ascii="Arial" w:hAnsi="Arial" w:cs="Arial"/>
          <w:sz w:val="24"/>
          <w:szCs w:val="24"/>
        </w:rPr>
        <w:t xml:space="preserve"> year</w:t>
      </w:r>
      <w:r w:rsidR="00653D45">
        <w:rPr>
          <w:rFonts w:ascii="Arial" w:hAnsi="Arial" w:cs="Arial"/>
          <w:sz w:val="24"/>
          <w:szCs w:val="24"/>
        </w:rPr>
        <w:t xml:space="preserve"> 6 this has</w:t>
      </w:r>
      <w:r>
        <w:rPr>
          <w:rFonts w:ascii="Arial" w:hAnsi="Arial" w:cs="Arial"/>
          <w:sz w:val="24"/>
          <w:szCs w:val="24"/>
        </w:rPr>
        <w:t xml:space="preserve"> allowed the class/group size</w:t>
      </w:r>
      <w:r w:rsidR="00BD5650">
        <w:rPr>
          <w:rFonts w:ascii="Arial" w:hAnsi="Arial" w:cs="Arial"/>
          <w:sz w:val="24"/>
          <w:szCs w:val="24"/>
        </w:rPr>
        <w:t>s</w:t>
      </w:r>
      <w:r>
        <w:rPr>
          <w:rFonts w:ascii="Arial" w:hAnsi="Arial" w:cs="Arial"/>
          <w:sz w:val="24"/>
          <w:szCs w:val="24"/>
        </w:rPr>
        <w:t xml:space="preserve"> to be reduced which has enabled the teacher</w:t>
      </w:r>
      <w:r w:rsidR="00BD5650">
        <w:rPr>
          <w:rFonts w:ascii="Arial" w:hAnsi="Arial" w:cs="Arial"/>
          <w:sz w:val="24"/>
          <w:szCs w:val="24"/>
        </w:rPr>
        <w:t>s</w:t>
      </w:r>
      <w:r>
        <w:rPr>
          <w:rFonts w:ascii="Arial" w:hAnsi="Arial" w:cs="Arial"/>
          <w:sz w:val="24"/>
          <w:szCs w:val="24"/>
        </w:rPr>
        <w:t xml:space="preserve"> to provide stronger and more focused support to the most vulnerable pupils.</w:t>
      </w:r>
    </w:p>
    <w:p w:rsidR="00C41F3F" w:rsidRDefault="00C41F3F" w:rsidP="00E41ACB">
      <w:pPr>
        <w:rPr>
          <w:rFonts w:ascii="Arial" w:hAnsi="Arial" w:cs="Arial"/>
          <w:sz w:val="24"/>
          <w:szCs w:val="24"/>
        </w:rPr>
      </w:pPr>
    </w:p>
    <w:p w:rsidR="00B14C41" w:rsidRDefault="00B14C41" w:rsidP="00E41ACB">
      <w:pPr>
        <w:rPr>
          <w:rFonts w:ascii="Arial" w:hAnsi="Arial" w:cs="Arial"/>
          <w:b/>
          <w:sz w:val="24"/>
          <w:szCs w:val="24"/>
          <w:u w:val="single"/>
        </w:rPr>
      </w:pPr>
      <w:r w:rsidRPr="00B14C41">
        <w:rPr>
          <w:rFonts w:ascii="Arial" w:hAnsi="Arial" w:cs="Arial"/>
          <w:b/>
          <w:sz w:val="24"/>
          <w:szCs w:val="24"/>
          <w:u w:val="single"/>
        </w:rPr>
        <w:t>External support.</w:t>
      </w:r>
    </w:p>
    <w:p w:rsidR="00B14C41" w:rsidRDefault="00B14C41" w:rsidP="00E41ACB">
      <w:pPr>
        <w:rPr>
          <w:rFonts w:ascii="Arial" w:hAnsi="Arial" w:cs="Arial"/>
          <w:sz w:val="24"/>
          <w:szCs w:val="24"/>
        </w:rPr>
      </w:pPr>
      <w:proofErr w:type="spellStart"/>
      <w:r>
        <w:rPr>
          <w:rFonts w:ascii="Arial" w:hAnsi="Arial" w:cs="Arial"/>
          <w:sz w:val="24"/>
          <w:szCs w:val="24"/>
        </w:rPr>
        <w:t>Wellesbourne</w:t>
      </w:r>
      <w:proofErr w:type="spellEnd"/>
      <w:r>
        <w:rPr>
          <w:rFonts w:ascii="Arial" w:hAnsi="Arial" w:cs="Arial"/>
          <w:sz w:val="24"/>
          <w:szCs w:val="24"/>
        </w:rPr>
        <w:t xml:space="preserve"> Primary and Nursery accesses a ra</w:t>
      </w:r>
      <w:r w:rsidR="00CD5C9D">
        <w:rPr>
          <w:rFonts w:ascii="Arial" w:hAnsi="Arial" w:cs="Arial"/>
          <w:sz w:val="24"/>
          <w:szCs w:val="24"/>
        </w:rPr>
        <w:t>n</w:t>
      </w:r>
      <w:r>
        <w:rPr>
          <w:rFonts w:ascii="Arial" w:hAnsi="Arial" w:cs="Arial"/>
          <w:sz w:val="24"/>
          <w:szCs w:val="24"/>
        </w:rPr>
        <w:t>ge of provision from outside agencies: the school is part of the Alt Valley 2 consortium and much support is coordinated and administered through this group.</w:t>
      </w:r>
    </w:p>
    <w:p w:rsidR="00B14C41" w:rsidRDefault="00B14C41" w:rsidP="00E41ACB">
      <w:pPr>
        <w:rPr>
          <w:rFonts w:ascii="Arial" w:hAnsi="Arial" w:cs="Arial"/>
          <w:sz w:val="24"/>
          <w:szCs w:val="24"/>
        </w:rPr>
      </w:pPr>
      <w:r>
        <w:rPr>
          <w:rFonts w:ascii="Arial" w:hAnsi="Arial" w:cs="Arial"/>
          <w:sz w:val="24"/>
          <w:szCs w:val="24"/>
        </w:rPr>
        <w:t>The following agencies are involved.</w:t>
      </w:r>
    </w:p>
    <w:p w:rsidR="00B14C41" w:rsidRDefault="00B14C41" w:rsidP="00E41ACB">
      <w:pPr>
        <w:rPr>
          <w:rFonts w:ascii="Arial" w:hAnsi="Arial" w:cs="Arial"/>
          <w:sz w:val="24"/>
          <w:szCs w:val="24"/>
        </w:rPr>
      </w:pPr>
      <w:r>
        <w:rPr>
          <w:rFonts w:ascii="Arial" w:hAnsi="Arial" w:cs="Arial"/>
          <w:sz w:val="24"/>
          <w:szCs w:val="24"/>
        </w:rPr>
        <w:tab/>
      </w:r>
      <w:r>
        <w:rPr>
          <w:rFonts w:ascii="Arial" w:hAnsi="Arial" w:cs="Arial"/>
          <w:sz w:val="24"/>
          <w:szCs w:val="24"/>
        </w:rPr>
        <w:tab/>
        <w:t xml:space="preserve"> </w:t>
      </w:r>
    </w:p>
    <w:tbl>
      <w:tblPr>
        <w:tblStyle w:val="TableGrid"/>
        <w:tblW w:w="0" w:type="auto"/>
        <w:tblLook w:val="04A0" w:firstRow="1" w:lastRow="0" w:firstColumn="1" w:lastColumn="0" w:noHBand="0" w:noVBand="1"/>
      </w:tblPr>
      <w:tblGrid>
        <w:gridCol w:w="4974"/>
        <w:gridCol w:w="4789"/>
        <w:gridCol w:w="4185"/>
      </w:tblGrid>
      <w:tr w:rsidR="008E033F" w:rsidTr="0021484F">
        <w:trPr>
          <w:trHeight w:val="270"/>
        </w:trPr>
        <w:tc>
          <w:tcPr>
            <w:tcW w:w="4987" w:type="dxa"/>
          </w:tcPr>
          <w:p w:rsidR="008E033F" w:rsidRPr="008E033F" w:rsidRDefault="008E033F" w:rsidP="008E033F">
            <w:pPr>
              <w:jc w:val="center"/>
              <w:rPr>
                <w:rFonts w:ascii="Arial" w:hAnsi="Arial" w:cs="Arial"/>
                <w:b/>
                <w:sz w:val="24"/>
                <w:szCs w:val="24"/>
              </w:rPr>
            </w:pPr>
            <w:r w:rsidRPr="008E033F">
              <w:rPr>
                <w:rFonts w:ascii="Arial" w:hAnsi="Arial" w:cs="Arial"/>
                <w:b/>
                <w:sz w:val="24"/>
                <w:szCs w:val="24"/>
              </w:rPr>
              <w:t>Provider</w:t>
            </w:r>
          </w:p>
        </w:tc>
        <w:tc>
          <w:tcPr>
            <w:tcW w:w="4800" w:type="dxa"/>
          </w:tcPr>
          <w:p w:rsidR="008E033F" w:rsidRPr="008E033F" w:rsidRDefault="008E033F" w:rsidP="008E033F">
            <w:pPr>
              <w:jc w:val="center"/>
              <w:rPr>
                <w:rFonts w:ascii="Arial" w:hAnsi="Arial" w:cs="Arial"/>
                <w:b/>
                <w:sz w:val="24"/>
                <w:szCs w:val="24"/>
              </w:rPr>
            </w:pPr>
            <w:r w:rsidRPr="008E033F">
              <w:rPr>
                <w:rFonts w:ascii="Arial" w:hAnsi="Arial" w:cs="Arial"/>
                <w:b/>
                <w:sz w:val="24"/>
                <w:szCs w:val="24"/>
              </w:rPr>
              <w:t>Service</w:t>
            </w:r>
          </w:p>
        </w:tc>
        <w:tc>
          <w:tcPr>
            <w:tcW w:w="4193" w:type="dxa"/>
          </w:tcPr>
          <w:p w:rsidR="008E033F" w:rsidRPr="008E033F" w:rsidRDefault="008E033F" w:rsidP="008E033F">
            <w:pPr>
              <w:jc w:val="center"/>
              <w:rPr>
                <w:rFonts w:ascii="Arial" w:hAnsi="Arial" w:cs="Arial"/>
                <w:b/>
                <w:sz w:val="24"/>
                <w:szCs w:val="24"/>
              </w:rPr>
            </w:pPr>
            <w:r>
              <w:rPr>
                <w:rFonts w:ascii="Arial" w:hAnsi="Arial" w:cs="Arial"/>
                <w:b/>
                <w:sz w:val="24"/>
                <w:szCs w:val="24"/>
              </w:rPr>
              <w:t xml:space="preserve">Effectiveness </w:t>
            </w:r>
          </w:p>
        </w:tc>
      </w:tr>
      <w:tr w:rsidR="008E033F" w:rsidTr="0021484F">
        <w:trPr>
          <w:trHeight w:val="500"/>
        </w:trPr>
        <w:tc>
          <w:tcPr>
            <w:tcW w:w="4987" w:type="dxa"/>
          </w:tcPr>
          <w:p w:rsidR="008E033F" w:rsidRDefault="00AE7168" w:rsidP="00E41ACB">
            <w:pPr>
              <w:rPr>
                <w:rFonts w:ascii="Arial" w:hAnsi="Arial" w:cs="Arial"/>
                <w:sz w:val="24"/>
                <w:szCs w:val="24"/>
              </w:rPr>
            </w:pPr>
            <w:r>
              <w:rPr>
                <w:rFonts w:ascii="Arial" w:hAnsi="Arial" w:cs="Arial"/>
                <w:sz w:val="24"/>
                <w:szCs w:val="24"/>
              </w:rPr>
              <w:t xml:space="preserve"> Psychology Direct</w:t>
            </w:r>
            <w:r w:rsidR="008E033F">
              <w:rPr>
                <w:rFonts w:ascii="Arial" w:hAnsi="Arial" w:cs="Arial"/>
                <w:sz w:val="24"/>
                <w:szCs w:val="24"/>
              </w:rPr>
              <w:tab/>
            </w:r>
          </w:p>
          <w:p w:rsidR="008E033F" w:rsidRDefault="008E033F" w:rsidP="00E41ACB">
            <w:pPr>
              <w:rPr>
                <w:rFonts w:ascii="Arial" w:hAnsi="Arial" w:cs="Arial"/>
                <w:sz w:val="24"/>
                <w:szCs w:val="24"/>
              </w:rPr>
            </w:pPr>
          </w:p>
        </w:tc>
        <w:tc>
          <w:tcPr>
            <w:tcW w:w="4800" w:type="dxa"/>
          </w:tcPr>
          <w:p w:rsidR="008E033F" w:rsidRDefault="00AE7168" w:rsidP="00E41ACB">
            <w:pPr>
              <w:rPr>
                <w:rFonts w:ascii="Arial" w:hAnsi="Arial" w:cs="Arial"/>
                <w:sz w:val="24"/>
                <w:szCs w:val="24"/>
              </w:rPr>
            </w:pPr>
            <w:r>
              <w:rPr>
                <w:rFonts w:ascii="Arial" w:hAnsi="Arial" w:cs="Arial"/>
                <w:sz w:val="24"/>
                <w:szCs w:val="24"/>
              </w:rPr>
              <w:t>Private service accessed in a multi school deal</w:t>
            </w:r>
          </w:p>
        </w:tc>
        <w:tc>
          <w:tcPr>
            <w:tcW w:w="4193" w:type="dxa"/>
          </w:tcPr>
          <w:p w:rsidR="008E033F" w:rsidRDefault="00674258" w:rsidP="00AE7168">
            <w:pPr>
              <w:rPr>
                <w:rFonts w:ascii="Arial" w:hAnsi="Arial" w:cs="Arial"/>
                <w:sz w:val="24"/>
                <w:szCs w:val="24"/>
              </w:rPr>
            </w:pPr>
            <w:r>
              <w:rPr>
                <w:rFonts w:ascii="Arial" w:hAnsi="Arial" w:cs="Arial"/>
                <w:sz w:val="24"/>
                <w:szCs w:val="24"/>
              </w:rPr>
              <w:t xml:space="preserve">First class support and advice </w:t>
            </w:r>
            <w:r w:rsidR="00B7383C">
              <w:rPr>
                <w:rFonts w:ascii="Arial" w:hAnsi="Arial" w:cs="Arial"/>
                <w:sz w:val="24"/>
                <w:szCs w:val="24"/>
              </w:rPr>
              <w:t xml:space="preserve">High quality report compared to </w:t>
            </w:r>
            <w:proofErr w:type="spellStart"/>
            <w:r w:rsidR="00B7383C">
              <w:rPr>
                <w:rFonts w:ascii="Arial" w:hAnsi="Arial" w:cs="Arial"/>
                <w:sz w:val="24"/>
                <w:szCs w:val="24"/>
              </w:rPr>
              <w:t>lacal</w:t>
            </w:r>
            <w:proofErr w:type="spellEnd"/>
            <w:r w:rsidR="00B7383C">
              <w:rPr>
                <w:rFonts w:ascii="Arial" w:hAnsi="Arial" w:cs="Arial"/>
                <w:sz w:val="24"/>
                <w:szCs w:val="24"/>
              </w:rPr>
              <w:t xml:space="preserve"> provision </w:t>
            </w:r>
          </w:p>
        </w:tc>
      </w:tr>
      <w:tr w:rsidR="008E033F" w:rsidTr="0021484F">
        <w:trPr>
          <w:trHeight w:val="952"/>
        </w:trPr>
        <w:tc>
          <w:tcPr>
            <w:tcW w:w="4987" w:type="dxa"/>
          </w:tcPr>
          <w:p w:rsidR="008E033F" w:rsidRDefault="00B7383C" w:rsidP="00E41ACB">
            <w:pPr>
              <w:rPr>
                <w:rFonts w:ascii="Arial" w:hAnsi="Arial" w:cs="Arial"/>
                <w:sz w:val="24"/>
                <w:szCs w:val="24"/>
              </w:rPr>
            </w:pPr>
            <w:r>
              <w:rPr>
                <w:rFonts w:ascii="Arial" w:hAnsi="Arial" w:cs="Arial"/>
                <w:sz w:val="24"/>
                <w:szCs w:val="24"/>
              </w:rPr>
              <w:t xml:space="preserve">Merseyside Specialist Teaching Schools Alliance MSTSA </w:t>
            </w:r>
          </w:p>
        </w:tc>
        <w:tc>
          <w:tcPr>
            <w:tcW w:w="4800" w:type="dxa"/>
          </w:tcPr>
          <w:p w:rsidR="008E033F" w:rsidRDefault="00B7383C" w:rsidP="00E41ACB">
            <w:pPr>
              <w:rPr>
                <w:rFonts w:ascii="Arial" w:hAnsi="Arial" w:cs="Arial"/>
                <w:sz w:val="24"/>
                <w:szCs w:val="24"/>
              </w:rPr>
            </w:pPr>
            <w:r>
              <w:rPr>
                <w:rFonts w:ascii="Arial" w:hAnsi="Arial" w:cs="Arial"/>
                <w:sz w:val="24"/>
                <w:szCs w:val="24"/>
              </w:rPr>
              <w:t xml:space="preserve">Specialist Staff </w:t>
            </w:r>
            <w:proofErr w:type="spellStart"/>
            <w:r>
              <w:rPr>
                <w:rFonts w:ascii="Arial" w:hAnsi="Arial" w:cs="Arial"/>
                <w:sz w:val="24"/>
                <w:szCs w:val="24"/>
              </w:rPr>
              <w:t>Trng</w:t>
            </w:r>
            <w:proofErr w:type="spellEnd"/>
          </w:p>
        </w:tc>
        <w:tc>
          <w:tcPr>
            <w:tcW w:w="4193" w:type="dxa"/>
          </w:tcPr>
          <w:p w:rsidR="008E033F" w:rsidRDefault="00B7383C" w:rsidP="00C7620C">
            <w:pPr>
              <w:rPr>
                <w:rFonts w:ascii="Arial" w:hAnsi="Arial" w:cs="Arial"/>
                <w:sz w:val="24"/>
                <w:szCs w:val="24"/>
              </w:rPr>
            </w:pPr>
            <w:r>
              <w:rPr>
                <w:rFonts w:ascii="Arial" w:hAnsi="Arial" w:cs="Arial"/>
                <w:sz w:val="24"/>
                <w:szCs w:val="24"/>
              </w:rPr>
              <w:t>Not yet evaluated new provision</w:t>
            </w:r>
          </w:p>
        </w:tc>
      </w:tr>
      <w:tr w:rsidR="008E033F" w:rsidTr="0021484F">
        <w:trPr>
          <w:trHeight w:val="824"/>
        </w:trPr>
        <w:tc>
          <w:tcPr>
            <w:tcW w:w="4987" w:type="dxa"/>
          </w:tcPr>
          <w:p w:rsidR="008E033F" w:rsidRDefault="00674258" w:rsidP="00E41ACB">
            <w:pPr>
              <w:rPr>
                <w:rFonts w:ascii="Arial" w:hAnsi="Arial" w:cs="Arial"/>
                <w:sz w:val="24"/>
                <w:szCs w:val="24"/>
              </w:rPr>
            </w:pPr>
            <w:r>
              <w:rPr>
                <w:rFonts w:ascii="Arial" w:hAnsi="Arial" w:cs="Arial"/>
                <w:sz w:val="24"/>
                <w:szCs w:val="24"/>
              </w:rPr>
              <w:t xml:space="preserve">Liverpool sensory services </w:t>
            </w:r>
          </w:p>
        </w:tc>
        <w:tc>
          <w:tcPr>
            <w:tcW w:w="4800" w:type="dxa"/>
          </w:tcPr>
          <w:p w:rsidR="008E033F" w:rsidRDefault="008356C5" w:rsidP="00E41ACB">
            <w:pPr>
              <w:rPr>
                <w:rFonts w:ascii="Arial" w:hAnsi="Arial" w:cs="Arial"/>
                <w:sz w:val="24"/>
                <w:szCs w:val="24"/>
              </w:rPr>
            </w:pPr>
            <w:r>
              <w:rPr>
                <w:rFonts w:ascii="Arial" w:hAnsi="Arial" w:cs="Arial"/>
                <w:sz w:val="24"/>
                <w:szCs w:val="24"/>
              </w:rPr>
              <w:t>Termly assessment and review of hearing impaired pupils</w:t>
            </w:r>
          </w:p>
          <w:p w:rsidR="008356C5" w:rsidRDefault="008356C5" w:rsidP="00E41ACB">
            <w:pPr>
              <w:rPr>
                <w:rFonts w:ascii="Arial" w:hAnsi="Arial" w:cs="Arial"/>
                <w:sz w:val="24"/>
                <w:szCs w:val="24"/>
              </w:rPr>
            </w:pPr>
            <w:r>
              <w:rPr>
                <w:rFonts w:ascii="Arial" w:hAnsi="Arial" w:cs="Arial"/>
                <w:sz w:val="24"/>
                <w:szCs w:val="24"/>
              </w:rPr>
              <w:t xml:space="preserve">Bev Henry </w:t>
            </w:r>
          </w:p>
        </w:tc>
        <w:tc>
          <w:tcPr>
            <w:tcW w:w="4193" w:type="dxa"/>
          </w:tcPr>
          <w:p w:rsidR="008E033F" w:rsidRDefault="00BD5650" w:rsidP="00C7620C">
            <w:pPr>
              <w:rPr>
                <w:rFonts w:ascii="Arial" w:hAnsi="Arial" w:cs="Arial"/>
                <w:sz w:val="24"/>
                <w:szCs w:val="24"/>
              </w:rPr>
            </w:pPr>
            <w:r>
              <w:rPr>
                <w:rFonts w:ascii="Arial" w:hAnsi="Arial" w:cs="Arial"/>
                <w:sz w:val="24"/>
                <w:szCs w:val="24"/>
              </w:rPr>
              <w:t>Termly support excellent although limited need in current cohort.</w:t>
            </w:r>
          </w:p>
        </w:tc>
      </w:tr>
      <w:tr w:rsidR="008356C5" w:rsidTr="0021484F">
        <w:trPr>
          <w:trHeight w:val="846"/>
        </w:trPr>
        <w:tc>
          <w:tcPr>
            <w:tcW w:w="4987" w:type="dxa"/>
          </w:tcPr>
          <w:p w:rsidR="008356C5" w:rsidRDefault="008356C5" w:rsidP="00E41ACB">
            <w:pPr>
              <w:rPr>
                <w:rFonts w:ascii="Arial" w:hAnsi="Arial" w:cs="Arial"/>
                <w:sz w:val="24"/>
                <w:szCs w:val="24"/>
              </w:rPr>
            </w:pPr>
            <w:proofErr w:type="spellStart"/>
            <w:r>
              <w:rPr>
                <w:rFonts w:ascii="Arial" w:hAnsi="Arial" w:cs="Arial"/>
                <w:sz w:val="24"/>
                <w:szCs w:val="24"/>
              </w:rPr>
              <w:t>Senniss</w:t>
            </w:r>
            <w:proofErr w:type="spellEnd"/>
          </w:p>
        </w:tc>
        <w:tc>
          <w:tcPr>
            <w:tcW w:w="4800" w:type="dxa"/>
          </w:tcPr>
          <w:p w:rsidR="00083742" w:rsidRDefault="008356C5" w:rsidP="00E41ACB">
            <w:pPr>
              <w:rPr>
                <w:rFonts w:ascii="Arial" w:hAnsi="Arial" w:cs="Arial"/>
                <w:sz w:val="24"/>
                <w:szCs w:val="24"/>
              </w:rPr>
            </w:pPr>
            <w:r>
              <w:rPr>
                <w:rFonts w:ascii="Arial" w:hAnsi="Arial" w:cs="Arial"/>
                <w:sz w:val="24"/>
                <w:szCs w:val="24"/>
              </w:rPr>
              <w:t>Dyslexia as</w:t>
            </w:r>
            <w:r w:rsidR="00A17BCC">
              <w:rPr>
                <w:rFonts w:ascii="Arial" w:hAnsi="Arial" w:cs="Arial"/>
                <w:sz w:val="24"/>
                <w:szCs w:val="24"/>
              </w:rPr>
              <w:t>sessment and support</w:t>
            </w:r>
            <w:r w:rsidR="003407D8">
              <w:rPr>
                <w:rFonts w:ascii="Arial" w:hAnsi="Arial" w:cs="Arial"/>
                <w:sz w:val="24"/>
                <w:szCs w:val="24"/>
              </w:rPr>
              <w:t xml:space="preserve"> </w:t>
            </w:r>
            <w:r w:rsidR="00E35F9B">
              <w:rPr>
                <w:rFonts w:ascii="Arial" w:hAnsi="Arial" w:cs="Arial"/>
                <w:sz w:val="24"/>
                <w:szCs w:val="24"/>
              </w:rPr>
              <w:t>A</w:t>
            </w:r>
            <w:r w:rsidR="00083742">
              <w:rPr>
                <w:rFonts w:ascii="Arial" w:hAnsi="Arial" w:cs="Arial"/>
                <w:sz w:val="24"/>
                <w:szCs w:val="24"/>
              </w:rPr>
              <w:t xml:space="preserve">nn </w:t>
            </w:r>
            <w:proofErr w:type="spellStart"/>
            <w:r w:rsidR="00E35F9B">
              <w:rPr>
                <w:rFonts w:ascii="Arial" w:hAnsi="Arial" w:cs="Arial"/>
                <w:sz w:val="24"/>
                <w:szCs w:val="24"/>
              </w:rPr>
              <w:t>B</w:t>
            </w:r>
            <w:r w:rsidR="00083742">
              <w:rPr>
                <w:rFonts w:ascii="Arial" w:hAnsi="Arial" w:cs="Arial"/>
                <w:sz w:val="24"/>
                <w:szCs w:val="24"/>
              </w:rPr>
              <w:t>ootman</w:t>
            </w:r>
            <w:proofErr w:type="spellEnd"/>
            <w:r w:rsidR="00083742">
              <w:rPr>
                <w:rFonts w:ascii="Arial" w:hAnsi="Arial" w:cs="Arial"/>
                <w:sz w:val="24"/>
                <w:szCs w:val="24"/>
              </w:rPr>
              <w:t xml:space="preserve"> via SLA £360 per child </w:t>
            </w:r>
          </w:p>
          <w:p w:rsidR="008356C5" w:rsidRDefault="00083742" w:rsidP="00E41ACB">
            <w:pPr>
              <w:rPr>
                <w:rFonts w:ascii="Arial" w:hAnsi="Arial" w:cs="Arial"/>
                <w:sz w:val="24"/>
                <w:szCs w:val="24"/>
              </w:rPr>
            </w:pPr>
            <w:r>
              <w:rPr>
                <w:rFonts w:ascii="Arial" w:hAnsi="Arial" w:cs="Arial"/>
                <w:sz w:val="24"/>
                <w:szCs w:val="24"/>
              </w:rPr>
              <w:t xml:space="preserve">Early years provision </w:t>
            </w:r>
            <w:r w:rsidR="00A17BCC">
              <w:rPr>
                <w:rFonts w:ascii="Arial" w:hAnsi="Arial" w:cs="Arial"/>
                <w:sz w:val="24"/>
                <w:szCs w:val="24"/>
              </w:rPr>
              <w:t>Louise Ambrose Finch</w:t>
            </w:r>
            <w:r w:rsidR="00E35F9B">
              <w:rPr>
                <w:rFonts w:ascii="Arial" w:hAnsi="Arial" w:cs="Arial"/>
                <w:sz w:val="24"/>
                <w:szCs w:val="24"/>
              </w:rPr>
              <w:t>.</w:t>
            </w:r>
          </w:p>
        </w:tc>
        <w:tc>
          <w:tcPr>
            <w:tcW w:w="4193" w:type="dxa"/>
          </w:tcPr>
          <w:p w:rsidR="00E35F9B" w:rsidRDefault="008356C5" w:rsidP="00E35F9B">
            <w:pPr>
              <w:rPr>
                <w:rFonts w:ascii="Arial" w:hAnsi="Arial" w:cs="Arial"/>
                <w:sz w:val="24"/>
                <w:szCs w:val="24"/>
              </w:rPr>
            </w:pPr>
            <w:r>
              <w:rPr>
                <w:rFonts w:ascii="Arial" w:hAnsi="Arial" w:cs="Arial"/>
                <w:sz w:val="24"/>
                <w:szCs w:val="24"/>
              </w:rPr>
              <w:t>6 assessment P/A by SLA.</w:t>
            </w:r>
            <w:r w:rsidR="00E35F9B">
              <w:rPr>
                <w:rFonts w:ascii="Arial" w:hAnsi="Arial" w:cs="Arial"/>
                <w:sz w:val="24"/>
                <w:szCs w:val="24"/>
              </w:rPr>
              <w:t xml:space="preserve"> </w:t>
            </w:r>
          </w:p>
          <w:p w:rsidR="008356C5" w:rsidRDefault="00E35F9B" w:rsidP="00E35F9B">
            <w:pPr>
              <w:rPr>
                <w:rFonts w:ascii="Arial" w:hAnsi="Arial" w:cs="Arial"/>
                <w:sz w:val="24"/>
                <w:szCs w:val="24"/>
              </w:rPr>
            </w:pPr>
            <w:r>
              <w:rPr>
                <w:rFonts w:ascii="Arial" w:hAnsi="Arial" w:cs="Arial"/>
                <w:sz w:val="24"/>
                <w:szCs w:val="24"/>
              </w:rPr>
              <w:t>From Year 3 onwards, includes CPD for staff.</w:t>
            </w:r>
          </w:p>
        </w:tc>
      </w:tr>
      <w:tr w:rsidR="008356C5" w:rsidTr="0021484F">
        <w:trPr>
          <w:trHeight w:val="1384"/>
        </w:trPr>
        <w:tc>
          <w:tcPr>
            <w:tcW w:w="4987" w:type="dxa"/>
          </w:tcPr>
          <w:p w:rsidR="008356C5" w:rsidRDefault="00AE7168" w:rsidP="00E41ACB">
            <w:pPr>
              <w:rPr>
                <w:rFonts w:ascii="Arial" w:hAnsi="Arial" w:cs="Arial"/>
                <w:sz w:val="24"/>
                <w:szCs w:val="24"/>
              </w:rPr>
            </w:pPr>
            <w:proofErr w:type="spellStart"/>
            <w:r>
              <w:rPr>
                <w:rFonts w:ascii="Arial" w:hAnsi="Arial" w:cs="Arial"/>
                <w:sz w:val="24"/>
                <w:szCs w:val="24"/>
              </w:rPr>
              <w:t>Fauzia</w:t>
            </w:r>
            <w:proofErr w:type="spellEnd"/>
            <w:r>
              <w:rPr>
                <w:rFonts w:ascii="Arial" w:hAnsi="Arial" w:cs="Arial"/>
                <w:sz w:val="24"/>
                <w:szCs w:val="24"/>
              </w:rPr>
              <w:t xml:space="preserve"> Moynihan</w:t>
            </w:r>
            <w:r w:rsidR="00A822E7">
              <w:rPr>
                <w:rFonts w:ascii="Arial" w:hAnsi="Arial" w:cs="Arial"/>
                <w:sz w:val="24"/>
                <w:szCs w:val="24"/>
              </w:rPr>
              <w:t xml:space="preserve"> </w:t>
            </w:r>
            <w:r w:rsidR="00BD5650">
              <w:rPr>
                <w:rFonts w:ascii="Arial" w:hAnsi="Arial" w:cs="Arial"/>
                <w:sz w:val="24"/>
                <w:szCs w:val="24"/>
              </w:rPr>
              <w:t xml:space="preserve"> YPAS seedlings project</w:t>
            </w:r>
          </w:p>
        </w:tc>
        <w:tc>
          <w:tcPr>
            <w:tcW w:w="4800" w:type="dxa"/>
          </w:tcPr>
          <w:p w:rsidR="00D22F5E" w:rsidRDefault="00BD5650" w:rsidP="00BD5650">
            <w:pPr>
              <w:rPr>
                <w:rFonts w:ascii="Arial" w:hAnsi="Arial" w:cs="Arial"/>
                <w:sz w:val="24"/>
                <w:szCs w:val="24"/>
              </w:rPr>
            </w:pPr>
            <w:r>
              <w:rPr>
                <w:rFonts w:ascii="Arial" w:hAnsi="Arial" w:cs="Arial"/>
                <w:sz w:val="24"/>
                <w:szCs w:val="24"/>
              </w:rPr>
              <w:t>1 to 1 play therapy 2 children per week in a one morning session.</w:t>
            </w:r>
          </w:p>
        </w:tc>
        <w:tc>
          <w:tcPr>
            <w:tcW w:w="4193" w:type="dxa"/>
          </w:tcPr>
          <w:p w:rsidR="008356C5" w:rsidRDefault="008356C5" w:rsidP="00E41ACB">
            <w:pPr>
              <w:rPr>
                <w:rFonts w:ascii="Arial" w:hAnsi="Arial" w:cs="Arial"/>
                <w:sz w:val="24"/>
                <w:szCs w:val="24"/>
              </w:rPr>
            </w:pPr>
            <w:r>
              <w:rPr>
                <w:rFonts w:ascii="Arial" w:hAnsi="Arial" w:cs="Arial"/>
                <w:sz w:val="24"/>
                <w:szCs w:val="24"/>
              </w:rPr>
              <w:t>Support has bee</w:t>
            </w:r>
            <w:r w:rsidR="00083742">
              <w:rPr>
                <w:rFonts w:ascii="Arial" w:hAnsi="Arial" w:cs="Arial"/>
                <w:sz w:val="24"/>
                <w:szCs w:val="24"/>
              </w:rPr>
              <w:t>n</w:t>
            </w:r>
            <w:r w:rsidR="00BD5650">
              <w:rPr>
                <w:rFonts w:ascii="Arial" w:hAnsi="Arial" w:cs="Arial"/>
                <w:sz w:val="24"/>
                <w:szCs w:val="24"/>
              </w:rPr>
              <w:t xml:space="preserve"> very</w:t>
            </w:r>
            <w:r w:rsidR="00083742">
              <w:rPr>
                <w:rFonts w:ascii="Arial" w:hAnsi="Arial" w:cs="Arial"/>
                <w:sz w:val="24"/>
                <w:szCs w:val="24"/>
              </w:rPr>
              <w:t xml:space="preserve"> useful for vulnerable children</w:t>
            </w:r>
          </w:p>
          <w:p w:rsidR="008356C5" w:rsidRDefault="008356C5" w:rsidP="00E41ACB">
            <w:pPr>
              <w:rPr>
                <w:rFonts w:ascii="Arial" w:hAnsi="Arial" w:cs="Arial"/>
                <w:sz w:val="24"/>
                <w:szCs w:val="24"/>
              </w:rPr>
            </w:pPr>
          </w:p>
          <w:p w:rsidR="008356C5" w:rsidRDefault="008356C5" w:rsidP="00BD5650">
            <w:pPr>
              <w:rPr>
                <w:rFonts w:ascii="Arial" w:hAnsi="Arial" w:cs="Arial"/>
                <w:sz w:val="24"/>
                <w:szCs w:val="24"/>
              </w:rPr>
            </w:pPr>
            <w:r>
              <w:rPr>
                <w:rFonts w:ascii="Arial" w:hAnsi="Arial" w:cs="Arial"/>
                <w:sz w:val="24"/>
                <w:szCs w:val="24"/>
              </w:rPr>
              <w:t>Co</w:t>
            </w:r>
            <w:r w:rsidR="00BD5650">
              <w:rPr>
                <w:rFonts w:ascii="Arial" w:hAnsi="Arial" w:cs="Arial"/>
                <w:sz w:val="24"/>
                <w:szCs w:val="24"/>
              </w:rPr>
              <w:t>unselling is</w:t>
            </w:r>
            <w:r>
              <w:rPr>
                <w:rFonts w:ascii="Arial" w:hAnsi="Arial" w:cs="Arial"/>
                <w:sz w:val="24"/>
                <w:szCs w:val="24"/>
              </w:rPr>
              <w:t xml:space="preserve"> effective</w:t>
            </w:r>
            <w:r w:rsidR="00BD5650">
              <w:rPr>
                <w:rFonts w:ascii="Arial" w:hAnsi="Arial" w:cs="Arial"/>
                <w:sz w:val="24"/>
                <w:szCs w:val="24"/>
              </w:rPr>
              <w:t>. Now a traded service funded by consortia.</w:t>
            </w:r>
          </w:p>
        </w:tc>
      </w:tr>
      <w:tr w:rsidR="00265F70" w:rsidTr="0021484F">
        <w:trPr>
          <w:trHeight w:val="1114"/>
        </w:trPr>
        <w:tc>
          <w:tcPr>
            <w:tcW w:w="4987" w:type="dxa"/>
          </w:tcPr>
          <w:p w:rsidR="00265F70" w:rsidRDefault="00265F70" w:rsidP="00E41ACB">
            <w:pPr>
              <w:rPr>
                <w:rFonts w:ascii="Arial" w:hAnsi="Arial" w:cs="Arial"/>
                <w:sz w:val="24"/>
                <w:szCs w:val="24"/>
              </w:rPr>
            </w:pPr>
            <w:r>
              <w:rPr>
                <w:rFonts w:ascii="Arial" w:hAnsi="Arial" w:cs="Arial"/>
                <w:sz w:val="24"/>
                <w:szCs w:val="24"/>
              </w:rPr>
              <w:t>Beanstalk reading support</w:t>
            </w:r>
          </w:p>
        </w:tc>
        <w:tc>
          <w:tcPr>
            <w:tcW w:w="4800" w:type="dxa"/>
          </w:tcPr>
          <w:p w:rsidR="00265F70" w:rsidRDefault="00265F70" w:rsidP="00E41ACB">
            <w:pPr>
              <w:rPr>
                <w:rFonts w:ascii="Arial" w:hAnsi="Arial" w:cs="Arial"/>
                <w:sz w:val="24"/>
                <w:szCs w:val="24"/>
              </w:rPr>
            </w:pPr>
            <w:r>
              <w:rPr>
                <w:rFonts w:ascii="Arial" w:hAnsi="Arial" w:cs="Arial"/>
                <w:sz w:val="24"/>
                <w:szCs w:val="24"/>
              </w:rPr>
              <w:t xml:space="preserve">2 afternoons per week </w:t>
            </w:r>
          </w:p>
          <w:p w:rsidR="00265F70" w:rsidRDefault="00265F70" w:rsidP="00E41ACB">
            <w:pPr>
              <w:rPr>
                <w:rFonts w:ascii="Arial" w:hAnsi="Arial" w:cs="Arial"/>
                <w:sz w:val="24"/>
                <w:szCs w:val="24"/>
              </w:rPr>
            </w:pPr>
            <w:r>
              <w:rPr>
                <w:rFonts w:ascii="Arial" w:hAnsi="Arial" w:cs="Arial"/>
                <w:sz w:val="24"/>
                <w:szCs w:val="24"/>
              </w:rPr>
              <w:t>Reading support for 3 looked after children</w:t>
            </w:r>
          </w:p>
          <w:p w:rsidR="00265F70" w:rsidRDefault="00265F70" w:rsidP="00E41ACB">
            <w:pPr>
              <w:rPr>
                <w:rFonts w:ascii="Arial" w:hAnsi="Arial" w:cs="Arial"/>
                <w:sz w:val="24"/>
                <w:szCs w:val="24"/>
              </w:rPr>
            </w:pPr>
          </w:p>
        </w:tc>
        <w:tc>
          <w:tcPr>
            <w:tcW w:w="4193" w:type="dxa"/>
          </w:tcPr>
          <w:p w:rsidR="00265F70" w:rsidRDefault="00265F70" w:rsidP="00A822E7">
            <w:pPr>
              <w:rPr>
                <w:rFonts w:ascii="Arial" w:hAnsi="Arial" w:cs="Arial"/>
                <w:sz w:val="24"/>
                <w:szCs w:val="24"/>
              </w:rPr>
            </w:pPr>
            <w:r>
              <w:rPr>
                <w:rFonts w:ascii="Arial" w:hAnsi="Arial" w:cs="Arial"/>
                <w:sz w:val="24"/>
                <w:szCs w:val="24"/>
              </w:rPr>
              <w:t>Very effective intervention.</w:t>
            </w:r>
            <w:r w:rsidR="00BD5650">
              <w:rPr>
                <w:rFonts w:ascii="Arial" w:hAnsi="Arial" w:cs="Arial"/>
                <w:sz w:val="24"/>
                <w:szCs w:val="24"/>
              </w:rPr>
              <w:t xml:space="preserve"> </w:t>
            </w:r>
          </w:p>
        </w:tc>
      </w:tr>
    </w:tbl>
    <w:p w:rsidR="00C22C35" w:rsidRDefault="00C22C35">
      <w:pPr>
        <w:rPr>
          <w:rFonts w:ascii="Arial" w:hAnsi="Arial" w:cs="Arial"/>
          <w:sz w:val="24"/>
          <w:szCs w:val="24"/>
        </w:rPr>
      </w:pPr>
    </w:p>
    <w:p w:rsidR="005C10FC" w:rsidRDefault="005C10FC">
      <w:pPr>
        <w:rPr>
          <w:rFonts w:ascii="Arial" w:hAnsi="Arial" w:cs="Arial"/>
          <w:b/>
          <w:sz w:val="24"/>
          <w:szCs w:val="24"/>
          <w:u w:val="single"/>
        </w:rPr>
      </w:pPr>
      <w:r w:rsidRPr="005C10FC">
        <w:rPr>
          <w:rFonts w:ascii="Arial" w:hAnsi="Arial" w:cs="Arial"/>
          <w:b/>
          <w:sz w:val="24"/>
          <w:szCs w:val="24"/>
          <w:u w:val="single"/>
        </w:rPr>
        <w:t>Best Practice Benchmarking</w:t>
      </w:r>
    </w:p>
    <w:p w:rsidR="005C10FC" w:rsidRDefault="005C10FC">
      <w:pPr>
        <w:rPr>
          <w:rFonts w:ascii="Arial" w:hAnsi="Arial" w:cs="Arial"/>
          <w:sz w:val="24"/>
          <w:szCs w:val="24"/>
        </w:rPr>
      </w:pPr>
      <w:r w:rsidRPr="005C10FC">
        <w:rPr>
          <w:rFonts w:ascii="Arial" w:hAnsi="Arial" w:cs="Arial"/>
          <w:sz w:val="24"/>
          <w:szCs w:val="24"/>
        </w:rPr>
        <w:t xml:space="preserve">Currently </w:t>
      </w:r>
      <w:r>
        <w:rPr>
          <w:rFonts w:ascii="Arial" w:hAnsi="Arial" w:cs="Arial"/>
          <w:sz w:val="24"/>
          <w:szCs w:val="24"/>
        </w:rPr>
        <w:t>best practice is assured through a number of avenues of inter schools networking.</w:t>
      </w:r>
    </w:p>
    <w:p w:rsidR="005C10FC" w:rsidRDefault="005C10FC" w:rsidP="005C10FC">
      <w:pPr>
        <w:pStyle w:val="ListParagraph"/>
        <w:numPr>
          <w:ilvl w:val="0"/>
          <w:numId w:val="2"/>
        </w:numPr>
        <w:rPr>
          <w:rFonts w:ascii="Arial" w:hAnsi="Arial" w:cs="Arial"/>
          <w:sz w:val="24"/>
          <w:szCs w:val="24"/>
        </w:rPr>
      </w:pPr>
      <w:r>
        <w:rPr>
          <w:rFonts w:ascii="Arial" w:hAnsi="Arial" w:cs="Arial"/>
          <w:sz w:val="24"/>
          <w:szCs w:val="24"/>
        </w:rPr>
        <w:t xml:space="preserve">Regular attendance of both the </w:t>
      </w:r>
      <w:proofErr w:type="spellStart"/>
      <w:r>
        <w:rPr>
          <w:rFonts w:ascii="Arial" w:hAnsi="Arial" w:cs="Arial"/>
          <w:sz w:val="24"/>
          <w:szCs w:val="24"/>
        </w:rPr>
        <w:t>Headteacher</w:t>
      </w:r>
      <w:proofErr w:type="spellEnd"/>
      <w:r>
        <w:rPr>
          <w:rFonts w:ascii="Arial" w:hAnsi="Arial" w:cs="Arial"/>
          <w:sz w:val="24"/>
          <w:szCs w:val="24"/>
        </w:rPr>
        <w:t xml:space="preserve"> and </w:t>
      </w:r>
      <w:proofErr w:type="spellStart"/>
      <w:r>
        <w:rPr>
          <w:rFonts w:ascii="Arial" w:hAnsi="Arial" w:cs="Arial"/>
          <w:sz w:val="24"/>
          <w:szCs w:val="24"/>
        </w:rPr>
        <w:t>Senco</w:t>
      </w:r>
      <w:proofErr w:type="spellEnd"/>
      <w:r>
        <w:rPr>
          <w:rFonts w:ascii="Arial" w:hAnsi="Arial" w:cs="Arial"/>
          <w:sz w:val="24"/>
          <w:szCs w:val="24"/>
        </w:rPr>
        <w:t xml:space="preserve"> and at SEND consortium meetings.</w:t>
      </w:r>
    </w:p>
    <w:p w:rsidR="005C10FC" w:rsidRPr="005C10FC" w:rsidRDefault="005C10FC" w:rsidP="005C10FC">
      <w:pPr>
        <w:pStyle w:val="ListParagraph"/>
        <w:numPr>
          <w:ilvl w:val="0"/>
          <w:numId w:val="2"/>
        </w:numPr>
        <w:rPr>
          <w:rFonts w:ascii="Arial" w:hAnsi="Arial" w:cs="Arial"/>
          <w:sz w:val="24"/>
          <w:szCs w:val="24"/>
        </w:rPr>
      </w:pPr>
      <w:r>
        <w:rPr>
          <w:rFonts w:ascii="Arial" w:hAnsi="Arial" w:cs="Arial"/>
          <w:sz w:val="24"/>
          <w:szCs w:val="24"/>
        </w:rPr>
        <w:t>Reg</w:t>
      </w:r>
      <w:r w:rsidRPr="005C10FC">
        <w:rPr>
          <w:rFonts w:ascii="Arial" w:hAnsi="Arial" w:cs="Arial"/>
          <w:sz w:val="24"/>
          <w:szCs w:val="24"/>
        </w:rPr>
        <w:t>ular attendance at CPD training and SEND briefings and updates.</w:t>
      </w:r>
    </w:p>
    <w:p w:rsidR="005C10FC" w:rsidRDefault="00A17BCC" w:rsidP="005C10FC">
      <w:pPr>
        <w:pStyle w:val="ListParagraph"/>
        <w:numPr>
          <w:ilvl w:val="0"/>
          <w:numId w:val="2"/>
        </w:numPr>
        <w:rPr>
          <w:rFonts w:ascii="Arial" w:hAnsi="Arial" w:cs="Arial"/>
          <w:sz w:val="24"/>
          <w:szCs w:val="24"/>
        </w:rPr>
      </w:pPr>
      <w:r>
        <w:rPr>
          <w:rFonts w:ascii="Arial" w:hAnsi="Arial" w:cs="Arial"/>
          <w:sz w:val="24"/>
          <w:szCs w:val="24"/>
        </w:rPr>
        <w:t xml:space="preserve">Inter school </w:t>
      </w:r>
      <w:r w:rsidR="00BD5650">
        <w:rPr>
          <w:rFonts w:ascii="Arial" w:hAnsi="Arial" w:cs="Arial"/>
          <w:sz w:val="24"/>
          <w:szCs w:val="24"/>
        </w:rPr>
        <w:t>training and liaison through local network.</w:t>
      </w:r>
    </w:p>
    <w:p w:rsidR="005C10FC" w:rsidRDefault="005C10FC" w:rsidP="005C10FC">
      <w:pPr>
        <w:pStyle w:val="ListParagraph"/>
        <w:numPr>
          <w:ilvl w:val="0"/>
          <w:numId w:val="2"/>
        </w:numPr>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Helme</w:t>
      </w:r>
      <w:proofErr w:type="spellEnd"/>
      <w:r>
        <w:rPr>
          <w:rFonts w:ascii="Arial" w:hAnsi="Arial" w:cs="Arial"/>
          <w:sz w:val="24"/>
          <w:szCs w:val="24"/>
        </w:rPr>
        <w:t xml:space="preserve"> </w:t>
      </w:r>
      <w:proofErr w:type="spellStart"/>
      <w:r>
        <w:rPr>
          <w:rFonts w:ascii="Arial" w:hAnsi="Arial" w:cs="Arial"/>
          <w:sz w:val="24"/>
          <w:szCs w:val="24"/>
        </w:rPr>
        <w:t>Senco</w:t>
      </w:r>
      <w:proofErr w:type="spellEnd"/>
      <w:r>
        <w:rPr>
          <w:rFonts w:ascii="Arial" w:hAnsi="Arial" w:cs="Arial"/>
          <w:sz w:val="24"/>
          <w:szCs w:val="24"/>
        </w:rPr>
        <w:t xml:space="preserve"> sits on the Local Authority SEND forum, which acts as a best practice steering group for the city.</w:t>
      </w:r>
    </w:p>
    <w:p w:rsidR="0026275D" w:rsidRDefault="0026275D" w:rsidP="00FF389A">
      <w:pPr>
        <w:rPr>
          <w:rFonts w:ascii="Arial" w:hAnsi="Arial" w:cs="Arial"/>
          <w:b/>
          <w:sz w:val="24"/>
          <w:szCs w:val="24"/>
          <w:u w:val="single"/>
        </w:rPr>
      </w:pPr>
    </w:p>
    <w:p w:rsidR="00FF389A" w:rsidRDefault="00FF389A" w:rsidP="00FF389A">
      <w:pPr>
        <w:rPr>
          <w:rFonts w:ascii="Arial" w:hAnsi="Arial" w:cs="Arial"/>
          <w:b/>
          <w:sz w:val="24"/>
          <w:szCs w:val="24"/>
          <w:u w:val="single"/>
        </w:rPr>
      </w:pPr>
      <w:r w:rsidRPr="00FF389A">
        <w:rPr>
          <w:rFonts w:ascii="Arial" w:hAnsi="Arial" w:cs="Arial"/>
          <w:b/>
          <w:sz w:val="24"/>
          <w:szCs w:val="24"/>
          <w:u w:val="single"/>
        </w:rPr>
        <w:t>Parental Support</w:t>
      </w:r>
    </w:p>
    <w:p w:rsidR="00FF389A" w:rsidRDefault="00472B21" w:rsidP="00FF389A">
      <w:pPr>
        <w:rPr>
          <w:rFonts w:ascii="Arial" w:hAnsi="Arial" w:cs="Arial"/>
          <w:sz w:val="24"/>
          <w:szCs w:val="24"/>
        </w:rPr>
      </w:pPr>
      <w:r>
        <w:rPr>
          <w:rFonts w:ascii="Arial" w:hAnsi="Arial" w:cs="Arial"/>
          <w:sz w:val="24"/>
          <w:szCs w:val="24"/>
        </w:rPr>
        <w:t xml:space="preserve">Parents have a daily opportunity to access the SENCO this usually takes place between 11.15 and 12.30. </w:t>
      </w:r>
      <w:r w:rsidR="00806444">
        <w:rPr>
          <w:rFonts w:ascii="Arial" w:hAnsi="Arial" w:cs="Arial"/>
          <w:sz w:val="24"/>
          <w:szCs w:val="24"/>
        </w:rPr>
        <w:t>This</w:t>
      </w:r>
      <w:r>
        <w:rPr>
          <w:rFonts w:ascii="Arial" w:hAnsi="Arial" w:cs="Arial"/>
          <w:sz w:val="24"/>
          <w:szCs w:val="24"/>
        </w:rPr>
        <w:t xml:space="preserve"> allows parents to arrive at school when the yard is quiet and has proved a popular arrangement. This is of course flexible.</w:t>
      </w:r>
    </w:p>
    <w:p w:rsidR="00472B21" w:rsidRDefault="00472B21" w:rsidP="00FF389A">
      <w:pPr>
        <w:rPr>
          <w:rFonts w:ascii="Arial" w:hAnsi="Arial" w:cs="Arial"/>
          <w:sz w:val="24"/>
          <w:szCs w:val="24"/>
        </w:rPr>
      </w:pPr>
      <w:r>
        <w:rPr>
          <w:rFonts w:ascii="Arial" w:hAnsi="Arial" w:cs="Arial"/>
          <w:sz w:val="24"/>
          <w:szCs w:val="24"/>
        </w:rPr>
        <w:t>Additionally since the sta</w:t>
      </w:r>
      <w:r w:rsidR="00806444">
        <w:rPr>
          <w:rFonts w:ascii="Arial" w:hAnsi="Arial" w:cs="Arial"/>
          <w:sz w:val="24"/>
          <w:szCs w:val="24"/>
        </w:rPr>
        <w:t>rt of the autumn term a Parent Support G</w:t>
      </w:r>
      <w:r>
        <w:rPr>
          <w:rFonts w:ascii="Arial" w:hAnsi="Arial" w:cs="Arial"/>
          <w:sz w:val="24"/>
          <w:szCs w:val="24"/>
        </w:rPr>
        <w:t>roup has been formed to support parents of children with ASD diagnosis or concerns. This has been supported by the ED Psych, local outreach services but mainly by experienced parents and carers. It has proved to be both popular and effective.</w:t>
      </w:r>
    </w:p>
    <w:p w:rsidR="00A902CC" w:rsidRDefault="00A902CC" w:rsidP="00FF389A">
      <w:pPr>
        <w:rPr>
          <w:rFonts w:ascii="Arial" w:hAnsi="Arial" w:cs="Arial"/>
          <w:sz w:val="24"/>
          <w:szCs w:val="24"/>
        </w:rPr>
      </w:pPr>
    </w:p>
    <w:p w:rsidR="00A902CC" w:rsidRDefault="009C08F0" w:rsidP="00FF389A">
      <w:pPr>
        <w:rPr>
          <w:rFonts w:ascii="Arial" w:hAnsi="Arial" w:cs="Arial"/>
          <w:b/>
          <w:sz w:val="24"/>
          <w:szCs w:val="24"/>
          <w:u w:val="single"/>
        </w:rPr>
      </w:pPr>
      <w:r>
        <w:rPr>
          <w:rFonts w:ascii="Arial" w:hAnsi="Arial" w:cs="Arial"/>
          <w:b/>
          <w:sz w:val="24"/>
          <w:szCs w:val="24"/>
          <w:u w:val="single"/>
        </w:rPr>
        <w:t xml:space="preserve"> Initiatives</w:t>
      </w:r>
    </w:p>
    <w:p w:rsidR="00806444" w:rsidRDefault="00A902CC" w:rsidP="00FF389A">
      <w:pPr>
        <w:rPr>
          <w:rFonts w:ascii="Arial" w:hAnsi="Arial" w:cs="Arial"/>
          <w:sz w:val="24"/>
          <w:szCs w:val="24"/>
        </w:rPr>
      </w:pPr>
      <w:r>
        <w:rPr>
          <w:rFonts w:ascii="Arial" w:hAnsi="Arial" w:cs="Arial"/>
          <w:sz w:val="24"/>
          <w:szCs w:val="24"/>
        </w:rPr>
        <w:t>In addition to the formation of a parent ASD support group the use of the Well centre at lunch time has been revised</w:t>
      </w:r>
      <w:r w:rsidR="00806444">
        <w:rPr>
          <w:rFonts w:ascii="Arial" w:hAnsi="Arial" w:cs="Arial"/>
          <w:sz w:val="24"/>
          <w:szCs w:val="24"/>
        </w:rPr>
        <w:t>. C</w:t>
      </w:r>
      <w:r>
        <w:rPr>
          <w:rFonts w:ascii="Arial" w:hAnsi="Arial" w:cs="Arial"/>
          <w:sz w:val="24"/>
          <w:szCs w:val="24"/>
        </w:rPr>
        <w:t xml:space="preserve">hildren who are </w:t>
      </w:r>
      <w:r w:rsidR="00806444">
        <w:rPr>
          <w:rFonts w:ascii="Arial" w:hAnsi="Arial" w:cs="Arial"/>
          <w:sz w:val="24"/>
          <w:szCs w:val="24"/>
        </w:rPr>
        <w:t>vulnerable</w:t>
      </w:r>
      <w:r>
        <w:rPr>
          <w:rFonts w:ascii="Arial" w:hAnsi="Arial" w:cs="Arial"/>
          <w:sz w:val="24"/>
          <w:szCs w:val="24"/>
        </w:rPr>
        <w:t xml:space="preserve"> or isolated are now involved </w:t>
      </w:r>
      <w:r w:rsidR="00806444">
        <w:rPr>
          <w:rFonts w:ascii="Arial" w:hAnsi="Arial" w:cs="Arial"/>
          <w:sz w:val="24"/>
          <w:szCs w:val="24"/>
        </w:rPr>
        <w:t>in short</w:t>
      </w:r>
      <w:r>
        <w:rPr>
          <w:rFonts w:ascii="Arial" w:hAnsi="Arial" w:cs="Arial"/>
          <w:sz w:val="24"/>
          <w:szCs w:val="24"/>
        </w:rPr>
        <w:t xml:space="preserve"> term projects to build </w:t>
      </w:r>
      <w:r w:rsidR="00806444">
        <w:rPr>
          <w:rFonts w:ascii="Arial" w:hAnsi="Arial" w:cs="Arial"/>
          <w:sz w:val="24"/>
          <w:szCs w:val="24"/>
        </w:rPr>
        <w:t>self-esteem</w:t>
      </w:r>
      <w:r>
        <w:rPr>
          <w:rFonts w:ascii="Arial" w:hAnsi="Arial" w:cs="Arial"/>
          <w:sz w:val="24"/>
          <w:szCs w:val="24"/>
        </w:rPr>
        <w:t xml:space="preserve"> and friendship bonds. These projects will be monitored and asse</w:t>
      </w:r>
      <w:r w:rsidR="009B6389">
        <w:rPr>
          <w:rFonts w:ascii="Arial" w:hAnsi="Arial" w:cs="Arial"/>
          <w:sz w:val="24"/>
          <w:szCs w:val="24"/>
        </w:rPr>
        <w:t xml:space="preserve">ssed against </w:t>
      </w:r>
      <w:r w:rsidR="00BD5650">
        <w:rPr>
          <w:rFonts w:ascii="Arial" w:hAnsi="Arial" w:cs="Arial"/>
          <w:sz w:val="24"/>
          <w:szCs w:val="24"/>
        </w:rPr>
        <w:t>non-academic</w:t>
      </w:r>
      <w:r w:rsidR="009B6389">
        <w:rPr>
          <w:rFonts w:ascii="Arial" w:hAnsi="Arial" w:cs="Arial"/>
          <w:sz w:val="24"/>
          <w:szCs w:val="24"/>
        </w:rPr>
        <w:t xml:space="preserve"> needs.</w:t>
      </w:r>
    </w:p>
    <w:p w:rsidR="00747728" w:rsidRDefault="00747728" w:rsidP="00FF389A">
      <w:pPr>
        <w:rPr>
          <w:rFonts w:ascii="Arial" w:hAnsi="Arial" w:cs="Arial"/>
          <w:sz w:val="24"/>
          <w:szCs w:val="24"/>
        </w:rPr>
      </w:pPr>
      <w:r>
        <w:rPr>
          <w:rFonts w:ascii="Arial" w:hAnsi="Arial" w:cs="Arial"/>
          <w:sz w:val="24"/>
          <w:szCs w:val="24"/>
        </w:rPr>
        <w:t>A whole school every child vulnerability assessment has been developed to chec</w:t>
      </w:r>
      <w:r w:rsidR="006235E5">
        <w:rPr>
          <w:rFonts w:ascii="Arial" w:hAnsi="Arial" w:cs="Arial"/>
          <w:sz w:val="24"/>
          <w:szCs w:val="24"/>
        </w:rPr>
        <w:t>k pupil’s susceptibility to risk</w:t>
      </w:r>
      <w:r>
        <w:rPr>
          <w:rFonts w:ascii="Arial" w:hAnsi="Arial" w:cs="Arial"/>
          <w:sz w:val="24"/>
          <w:szCs w:val="24"/>
        </w:rPr>
        <w:t>.</w:t>
      </w:r>
    </w:p>
    <w:p w:rsidR="006235E5" w:rsidRDefault="006235E5" w:rsidP="00FF389A">
      <w:pPr>
        <w:rPr>
          <w:rFonts w:ascii="Arial" w:hAnsi="Arial" w:cs="Arial"/>
          <w:sz w:val="24"/>
          <w:szCs w:val="24"/>
        </w:rPr>
      </w:pPr>
      <w:r>
        <w:rPr>
          <w:rFonts w:ascii="Arial" w:hAnsi="Arial" w:cs="Arial"/>
          <w:sz w:val="24"/>
          <w:szCs w:val="24"/>
        </w:rPr>
        <w:t>A behaviour monitoring system linked to early risk assessment has been developed to ensure pupil safety.</w:t>
      </w:r>
    </w:p>
    <w:p w:rsidR="009B6389" w:rsidRDefault="009B6389" w:rsidP="00FF389A">
      <w:pPr>
        <w:rPr>
          <w:rFonts w:ascii="Arial" w:hAnsi="Arial" w:cs="Arial"/>
          <w:sz w:val="24"/>
          <w:szCs w:val="24"/>
        </w:rPr>
      </w:pPr>
      <w:r>
        <w:rPr>
          <w:rFonts w:ascii="Arial" w:hAnsi="Arial" w:cs="Arial"/>
          <w:sz w:val="24"/>
          <w:szCs w:val="24"/>
        </w:rPr>
        <w:t>A walking PHSE group has been developed to encourage friendship and socia</w:t>
      </w:r>
      <w:r w:rsidR="0026275D">
        <w:rPr>
          <w:rFonts w:ascii="Arial" w:hAnsi="Arial" w:cs="Arial"/>
          <w:sz w:val="24"/>
          <w:szCs w:val="24"/>
        </w:rPr>
        <w:t>lisation for vulnerable pupils. T</w:t>
      </w:r>
      <w:r>
        <w:rPr>
          <w:rFonts w:ascii="Arial" w:hAnsi="Arial" w:cs="Arial"/>
          <w:sz w:val="24"/>
          <w:szCs w:val="24"/>
        </w:rPr>
        <w:t xml:space="preserve">his provides opportunities for outdoor learning in small </w:t>
      </w:r>
      <w:r w:rsidR="006861AF">
        <w:rPr>
          <w:rFonts w:ascii="Arial" w:hAnsi="Arial" w:cs="Arial"/>
          <w:sz w:val="24"/>
          <w:szCs w:val="24"/>
        </w:rPr>
        <w:t>groups. Children</w:t>
      </w:r>
      <w:r>
        <w:rPr>
          <w:rFonts w:ascii="Arial" w:hAnsi="Arial" w:cs="Arial"/>
          <w:sz w:val="24"/>
          <w:szCs w:val="24"/>
        </w:rPr>
        <w:t xml:space="preserve"> are selected from criteria highlighted on the above </w:t>
      </w:r>
      <w:r w:rsidR="00BD5650">
        <w:rPr>
          <w:rFonts w:ascii="Arial" w:hAnsi="Arial" w:cs="Arial"/>
          <w:sz w:val="24"/>
          <w:szCs w:val="24"/>
        </w:rPr>
        <w:t>vulnerability</w:t>
      </w:r>
      <w:r>
        <w:rPr>
          <w:rFonts w:ascii="Arial" w:hAnsi="Arial" w:cs="Arial"/>
          <w:sz w:val="24"/>
          <w:szCs w:val="24"/>
        </w:rPr>
        <w:t xml:space="preserve"> grid.</w:t>
      </w:r>
    </w:p>
    <w:p w:rsidR="006861AF" w:rsidRDefault="006861AF" w:rsidP="00FF389A">
      <w:pPr>
        <w:rPr>
          <w:rFonts w:ascii="Arial" w:hAnsi="Arial" w:cs="Arial"/>
          <w:sz w:val="24"/>
          <w:szCs w:val="24"/>
        </w:rPr>
      </w:pPr>
      <w:r>
        <w:rPr>
          <w:rFonts w:ascii="Arial" w:hAnsi="Arial" w:cs="Arial"/>
          <w:sz w:val="24"/>
          <w:szCs w:val="24"/>
        </w:rPr>
        <w:t>This has impacted very positively upon behaviour, confidence and attendance. It was recently praised by CAHMS as an excellent strategy to improve children’s mental health.</w:t>
      </w:r>
    </w:p>
    <w:p w:rsidR="00BD5650" w:rsidRDefault="00BD5650" w:rsidP="00FF389A">
      <w:pPr>
        <w:rPr>
          <w:rFonts w:ascii="Arial" w:hAnsi="Arial" w:cs="Arial"/>
          <w:sz w:val="24"/>
          <w:szCs w:val="24"/>
        </w:rPr>
      </w:pPr>
      <w:r>
        <w:rPr>
          <w:rFonts w:ascii="Arial" w:hAnsi="Arial" w:cs="Arial"/>
          <w:sz w:val="24"/>
          <w:szCs w:val="24"/>
        </w:rPr>
        <w:t>A running group also support children each Monday, Wednesday and Friday lunchtime. This has increased pupil confidence and dramatically reduced playground incidents.</w:t>
      </w:r>
    </w:p>
    <w:p w:rsidR="00D30234" w:rsidRDefault="00D30234" w:rsidP="00FF389A">
      <w:pPr>
        <w:rPr>
          <w:rFonts w:ascii="Arial" w:hAnsi="Arial" w:cs="Arial"/>
          <w:sz w:val="24"/>
          <w:szCs w:val="24"/>
        </w:rPr>
      </w:pPr>
      <w:r>
        <w:rPr>
          <w:rFonts w:ascii="Arial" w:hAnsi="Arial" w:cs="Arial"/>
          <w:sz w:val="24"/>
          <w:szCs w:val="24"/>
        </w:rPr>
        <w:t>A whole school approach to wellbeing is being launched.</w:t>
      </w:r>
    </w:p>
    <w:p w:rsidR="0026275D" w:rsidRDefault="0026275D" w:rsidP="00FF389A">
      <w:pPr>
        <w:rPr>
          <w:rFonts w:ascii="Arial" w:hAnsi="Arial" w:cs="Arial"/>
          <w:b/>
          <w:sz w:val="24"/>
          <w:szCs w:val="24"/>
          <w:u w:val="single"/>
        </w:rPr>
      </w:pPr>
    </w:p>
    <w:p w:rsidR="00806444" w:rsidRDefault="00806444" w:rsidP="00FF389A">
      <w:pPr>
        <w:rPr>
          <w:rFonts w:ascii="Arial" w:hAnsi="Arial" w:cs="Arial"/>
          <w:b/>
          <w:sz w:val="24"/>
          <w:szCs w:val="24"/>
          <w:u w:val="single"/>
        </w:rPr>
      </w:pPr>
      <w:r>
        <w:rPr>
          <w:rFonts w:ascii="Arial" w:hAnsi="Arial" w:cs="Arial"/>
          <w:b/>
          <w:sz w:val="24"/>
          <w:szCs w:val="24"/>
          <w:u w:val="single"/>
        </w:rPr>
        <w:t>Long term Aims</w:t>
      </w:r>
    </w:p>
    <w:p w:rsidR="00A902CC" w:rsidRDefault="00806444" w:rsidP="00FF389A">
      <w:pPr>
        <w:rPr>
          <w:rFonts w:ascii="Arial" w:hAnsi="Arial" w:cs="Arial"/>
          <w:sz w:val="24"/>
          <w:szCs w:val="24"/>
        </w:rPr>
      </w:pPr>
      <w:r>
        <w:rPr>
          <w:rFonts w:ascii="Arial" w:hAnsi="Arial" w:cs="Arial"/>
          <w:sz w:val="24"/>
          <w:szCs w:val="24"/>
        </w:rPr>
        <w:t>It is the a</w:t>
      </w:r>
      <w:r w:rsidR="00A902CC">
        <w:rPr>
          <w:rFonts w:ascii="Arial" w:hAnsi="Arial" w:cs="Arial"/>
          <w:sz w:val="24"/>
          <w:szCs w:val="24"/>
        </w:rPr>
        <w:t>im of the school to bu</w:t>
      </w:r>
      <w:r>
        <w:rPr>
          <w:rFonts w:ascii="Arial" w:hAnsi="Arial" w:cs="Arial"/>
          <w:sz w:val="24"/>
          <w:szCs w:val="24"/>
        </w:rPr>
        <w:t>ild internal resilience to financial</w:t>
      </w:r>
      <w:r w:rsidR="00A902CC">
        <w:rPr>
          <w:rFonts w:ascii="Arial" w:hAnsi="Arial" w:cs="Arial"/>
          <w:sz w:val="24"/>
          <w:szCs w:val="24"/>
        </w:rPr>
        <w:t xml:space="preserve"> cuts </w:t>
      </w:r>
      <w:r>
        <w:rPr>
          <w:rFonts w:ascii="Arial" w:hAnsi="Arial" w:cs="Arial"/>
          <w:sz w:val="24"/>
          <w:szCs w:val="24"/>
        </w:rPr>
        <w:t>within the City. It is hoped to provide</w:t>
      </w:r>
      <w:r w:rsidR="00A902CC">
        <w:rPr>
          <w:rFonts w:ascii="Arial" w:hAnsi="Arial" w:cs="Arial"/>
          <w:sz w:val="24"/>
          <w:szCs w:val="24"/>
        </w:rPr>
        <w:t xml:space="preserve"> in house support for our pupils and parents wherever possible.</w:t>
      </w:r>
    </w:p>
    <w:p w:rsidR="00806444" w:rsidRDefault="00806444" w:rsidP="00FF389A">
      <w:pPr>
        <w:rPr>
          <w:rFonts w:ascii="Arial" w:hAnsi="Arial" w:cs="Arial"/>
          <w:sz w:val="24"/>
          <w:szCs w:val="24"/>
        </w:rPr>
      </w:pPr>
      <w:r>
        <w:rPr>
          <w:rFonts w:ascii="Arial" w:hAnsi="Arial" w:cs="Arial"/>
          <w:sz w:val="24"/>
          <w:szCs w:val="24"/>
        </w:rPr>
        <w:t xml:space="preserve">Working locally within the consortia and using the skill base of people around us we hope to </w:t>
      </w:r>
      <w:proofErr w:type="spellStart"/>
      <w:r>
        <w:rPr>
          <w:rFonts w:ascii="Arial" w:hAnsi="Arial" w:cs="Arial"/>
          <w:sz w:val="24"/>
          <w:szCs w:val="24"/>
        </w:rPr>
        <w:t>minimalise</w:t>
      </w:r>
      <w:proofErr w:type="spellEnd"/>
      <w:r>
        <w:rPr>
          <w:rFonts w:ascii="Arial" w:hAnsi="Arial" w:cs="Arial"/>
          <w:sz w:val="24"/>
          <w:szCs w:val="24"/>
        </w:rPr>
        <w:t xml:space="preserve"> the effect of austerity measures that are being felt so harshly by schools across the City.</w:t>
      </w:r>
    </w:p>
    <w:p w:rsidR="00AE7168" w:rsidRDefault="00AE7168" w:rsidP="00FF389A">
      <w:pPr>
        <w:rPr>
          <w:rFonts w:ascii="Arial" w:hAnsi="Arial" w:cs="Arial"/>
          <w:b/>
          <w:sz w:val="24"/>
          <w:szCs w:val="24"/>
          <w:u w:val="single"/>
        </w:rPr>
      </w:pPr>
    </w:p>
    <w:p w:rsidR="00D6548C" w:rsidRDefault="00D6548C" w:rsidP="00FF389A">
      <w:pPr>
        <w:rPr>
          <w:rFonts w:ascii="Arial" w:hAnsi="Arial" w:cs="Arial"/>
          <w:b/>
          <w:sz w:val="24"/>
          <w:szCs w:val="24"/>
          <w:u w:val="single"/>
        </w:rPr>
      </w:pPr>
      <w:r>
        <w:rPr>
          <w:rFonts w:ascii="Arial" w:hAnsi="Arial" w:cs="Arial"/>
          <w:b/>
          <w:sz w:val="24"/>
          <w:szCs w:val="24"/>
          <w:u w:val="single"/>
        </w:rPr>
        <w:t>EHATS</w:t>
      </w:r>
    </w:p>
    <w:p w:rsidR="00D6548C" w:rsidRDefault="00D6548C" w:rsidP="00FF389A">
      <w:pPr>
        <w:rPr>
          <w:rFonts w:ascii="Arial" w:hAnsi="Arial" w:cs="Arial"/>
          <w:sz w:val="24"/>
          <w:szCs w:val="24"/>
        </w:rPr>
      </w:pPr>
      <w:r>
        <w:rPr>
          <w:rFonts w:ascii="Arial" w:hAnsi="Arial" w:cs="Arial"/>
          <w:sz w:val="24"/>
          <w:szCs w:val="24"/>
        </w:rPr>
        <w:t>At present the school leads</w:t>
      </w:r>
      <w:r w:rsidR="00AE7168">
        <w:rPr>
          <w:rFonts w:ascii="Arial" w:hAnsi="Arial" w:cs="Arial"/>
          <w:sz w:val="24"/>
          <w:szCs w:val="24"/>
        </w:rPr>
        <w:t xml:space="preserve"> 5</w:t>
      </w:r>
      <w:r w:rsidR="008F18FD">
        <w:rPr>
          <w:rFonts w:ascii="Arial" w:hAnsi="Arial" w:cs="Arial"/>
          <w:sz w:val="24"/>
          <w:szCs w:val="24"/>
        </w:rPr>
        <w:t xml:space="preserve"> </w:t>
      </w:r>
      <w:r>
        <w:rPr>
          <w:rFonts w:ascii="Arial" w:hAnsi="Arial" w:cs="Arial"/>
          <w:sz w:val="24"/>
          <w:szCs w:val="24"/>
        </w:rPr>
        <w:t>open Early Help Assessment Tools</w:t>
      </w:r>
      <w:r w:rsidR="00C97D84">
        <w:rPr>
          <w:rFonts w:ascii="Arial" w:hAnsi="Arial" w:cs="Arial"/>
          <w:sz w:val="24"/>
          <w:szCs w:val="24"/>
        </w:rPr>
        <w:t xml:space="preserve"> </w:t>
      </w:r>
      <w:r>
        <w:rPr>
          <w:rFonts w:ascii="Arial" w:hAnsi="Arial" w:cs="Arial"/>
          <w:sz w:val="24"/>
          <w:szCs w:val="24"/>
        </w:rPr>
        <w:t>(EHATS)</w:t>
      </w:r>
      <w:r w:rsidR="00AE7168">
        <w:rPr>
          <w:rFonts w:ascii="Arial" w:hAnsi="Arial" w:cs="Arial"/>
          <w:sz w:val="24"/>
          <w:szCs w:val="24"/>
        </w:rPr>
        <w:t>.</w:t>
      </w:r>
      <w:r>
        <w:rPr>
          <w:rFonts w:ascii="Arial" w:hAnsi="Arial" w:cs="Arial"/>
          <w:sz w:val="24"/>
          <w:szCs w:val="24"/>
        </w:rPr>
        <w:t xml:space="preserve"> The use of an EHAT to support a child or family can be effective however the </w:t>
      </w:r>
      <w:r w:rsidR="00BC557D">
        <w:rPr>
          <w:rFonts w:ascii="Arial" w:hAnsi="Arial" w:cs="Arial"/>
          <w:sz w:val="24"/>
          <w:szCs w:val="24"/>
        </w:rPr>
        <w:t>multi-agency</w:t>
      </w:r>
      <w:r>
        <w:rPr>
          <w:rFonts w:ascii="Arial" w:hAnsi="Arial" w:cs="Arial"/>
          <w:sz w:val="24"/>
          <w:szCs w:val="24"/>
        </w:rPr>
        <w:t xml:space="preserve"> approach whilst having the potential to be effective can be both costly and difficult to manage logistically, often with as many as 10 agencies involved. </w:t>
      </w:r>
    </w:p>
    <w:p w:rsidR="00D6548C" w:rsidRDefault="00D6548C" w:rsidP="00FF389A">
      <w:pPr>
        <w:rPr>
          <w:rFonts w:ascii="Arial" w:hAnsi="Arial" w:cs="Arial"/>
          <w:sz w:val="24"/>
          <w:szCs w:val="24"/>
        </w:rPr>
      </w:pPr>
      <w:r>
        <w:rPr>
          <w:rFonts w:ascii="Arial" w:hAnsi="Arial" w:cs="Arial"/>
          <w:sz w:val="24"/>
          <w:szCs w:val="24"/>
        </w:rPr>
        <w:t>In many cases I feel the school is pressured into leading EHAT cases as an alternative to social services child care support or a an enforced precursor to an application for additional outside agency support.</w:t>
      </w:r>
    </w:p>
    <w:p w:rsidR="00D6548C" w:rsidRDefault="00D6548C" w:rsidP="00FF389A">
      <w:pPr>
        <w:rPr>
          <w:rFonts w:ascii="Arial" w:hAnsi="Arial" w:cs="Arial"/>
          <w:sz w:val="24"/>
          <w:szCs w:val="24"/>
        </w:rPr>
      </w:pPr>
      <w:r>
        <w:rPr>
          <w:rFonts w:ascii="Arial" w:hAnsi="Arial" w:cs="Arial"/>
          <w:sz w:val="24"/>
          <w:szCs w:val="24"/>
        </w:rPr>
        <w:t>I will continue to monitor the effectiveness of the EHATs and robustly challenge the need for them to be school</w:t>
      </w:r>
      <w:r w:rsidR="005C7CC6">
        <w:rPr>
          <w:rFonts w:ascii="Arial" w:hAnsi="Arial" w:cs="Arial"/>
          <w:sz w:val="24"/>
          <w:szCs w:val="24"/>
        </w:rPr>
        <w:t xml:space="preserve"> l</w:t>
      </w:r>
      <w:r>
        <w:rPr>
          <w:rFonts w:ascii="Arial" w:hAnsi="Arial" w:cs="Arial"/>
          <w:sz w:val="24"/>
          <w:szCs w:val="24"/>
        </w:rPr>
        <w:t>ed on all occasions.</w:t>
      </w:r>
    </w:p>
    <w:p w:rsidR="009B6389" w:rsidRDefault="009B6389" w:rsidP="00FF389A">
      <w:pPr>
        <w:rPr>
          <w:rFonts w:ascii="Arial" w:hAnsi="Arial" w:cs="Arial"/>
          <w:sz w:val="24"/>
          <w:szCs w:val="24"/>
        </w:rPr>
      </w:pPr>
      <w:r>
        <w:rPr>
          <w:rFonts w:ascii="Arial" w:hAnsi="Arial" w:cs="Arial"/>
          <w:sz w:val="24"/>
          <w:szCs w:val="24"/>
        </w:rPr>
        <w:t xml:space="preserve">The EHAT provision is currently reviewed weekly by the </w:t>
      </w:r>
      <w:proofErr w:type="spellStart"/>
      <w:r>
        <w:rPr>
          <w:rFonts w:ascii="Arial" w:hAnsi="Arial" w:cs="Arial"/>
          <w:sz w:val="24"/>
          <w:szCs w:val="24"/>
        </w:rPr>
        <w:t>senco</w:t>
      </w:r>
      <w:proofErr w:type="spellEnd"/>
      <w:r>
        <w:rPr>
          <w:rFonts w:ascii="Arial" w:hAnsi="Arial" w:cs="Arial"/>
          <w:sz w:val="24"/>
          <w:szCs w:val="24"/>
        </w:rPr>
        <w:t xml:space="preserve"> and Mentor and figures are discussed at consortia to benchmark against other schools.  Timetabling diaries remains a barrier to effective provision</w:t>
      </w:r>
    </w:p>
    <w:p w:rsidR="0026275D" w:rsidRDefault="0026275D" w:rsidP="00FF389A">
      <w:pPr>
        <w:rPr>
          <w:rFonts w:ascii="Arial" w:hAnsi="Arial" w:cs="Arial"/>
          <w:b/>
          <w:sz w:val="24"/>
          <w:szCs w:val="24"/>
          <w:u w:val="single"/>
        </w:rPr>
      </w:pPr>
    </w:p>
    <w:p w:rsidR="005C7CC6" w:rsidRDefault="005C7CC6" w:rsidP="00FF389A">
      <w:pPr>
        <w:rPr>
          <w:rFonts w:ascii="Arial" w:hAnsi="Arial" w:cs="Arial"/>
          <w:b/>
          <w:sz w:val="24"/>
          <w:szCs w:val="24"/>
          <w:u w:val="single"/>
        </w:rPr>
      </w:pPr>
      <w:r w:rsidRPr="005C7CC6">
        <w:rPr>
          <w:rFonts w:ascii="Arial" w:hAnsi="Arial" w:cs="Arial"/>
          <w:b/>
          <w:sz w:val="24"/>
          <w:szCs w:val="24"/>
          <w:u w:val="single"/>
        </w:rPr>
        <w:t>Persistent Absences</w:t>
      </w:r>
      <w:r w:rsidR="00D30234">
        <w:rPr>
          <w:rFonts w:ascii="Arial" w:hAnsi="Arial" w:cs="Arial"/>
          <w:b/>
          <w:sz w:val="24"/>
          <w:szCs w:val="24"/>
          <w:u w:val="single"/>
        </w:rPr>
        <w:t xml:space="preserve"> 2017/18</w:t>
      </w:r>
    </w:p>
    <w:p w:rsidR="009E035C" w:rsidRDefault="005C7CC6" w:rsidP="005B4F29">
      <w:pPr>
        <w:rPr>
          <w:rFonts w:ascii="Arial" w:hAnsi="Arial" w:cs="Arial"/>
          <w:sz w:val="24"/>
          <w:szCs w:val="24"/>
        </w:rPr>
      </w:pPr>
      <w:r>
        <w:rPr>
          <w:rFonts w:ascii="Arial" w:hAnsi="Arial" w:cs="Arial"/>
          <w:sz w:val="24"/>
          <w:szCs w:val="24"/>
        </w:rPr>
        <w:t xml:space="preserve">The change of the PA benchmark to 90% has impacted upon schools significantly. At </w:t>
      </w:r>
      <w:proofErr w:type="spellStart"/>
      <w:r>
        <w:rPr>
          <w:rFonts w:ascii="Arial" w:hAnsi="Arial" w:cs="Arial"/>
          <w:sz w:val="24"/>
          <w:szCs w:val="24"/>
        </w:rPr>
        <w:t>W</w:t>
      </w:r>
      <w:r w:rsidR="005B4F29">
        <w:rPr>
          <w:rFonts w:ascii="Arial" w:hAnsi="Arial" w:cs="Arial"/>
          <w:sz w:val="24"/>
          <w:szCs w:val="24"/>
        </w:rPr>
        <w:t>ellesbourne</w:t>
      </w:r>
      <w:proofErr w:type="spellEnd"/>
      <w:r w:rsidR="005B4F29">
        <w:rPr>
          <w:rFonts w:ascii="Arial" w:hAnsi="Arial" w:cs="Arial"/>
          <w:sz w:val="24"/>
          <w:szCs w:val="24"/>
        </w:rPr>
        <w:t xml:space="preserve"> we </w:t>
      </w:r>
      <w:r w:rsidR="00342905">
        <w:rPr>
          <w:rFonts w:ascii="Arial" w:hAnsi="Arial" w:cs="Arial"/>
          <w:sz w:val="24"/>
          <w:szCs w:val="24"/>
        </w:rPr>
        <w:t>currently have a figure of 19.1</w:t>
      </w:r>
      <w:r w:rsidR="005B4F29">
        <w:rPr>
          <w:rFonts w:ascii="Arial" w:hAnsi="Arial" w:cs="Arial"/>
          <w:sz w:val="24"/>
          <w:szCs w:val="24"/>
        </w:rPr>
        <w:t xml:space="preserve"> % Pa and any overall </w:t>
      </w:r>
      <w:proofErr w:type="gramStart"/>
      <w:r w:rsidR="005B4F29">
        <w:rPr>
          <w:rFonts w:ascii="Arial" w:hAnsi="Arial" w:cs="Arial"/>
          <w:sz w:val="24"/>
          <w:szCs w:val="24"/>
        </w:rPr>
        <w:t>attendance  of</w:t>
      </w:r>
      <w:proofErr w:type="gramEnd"/>
      <w:r w:rsidR="005B4F29">
        <w:rPr>
          <w:rFonts w:ascii="Arial" w:hAnsi="Arial" w:cs="Arial"/>
          <w:sz w:val="24"/>
          <w:szCs w:val="24"/>
        </w:rPr>
        <w:t xml:space="preserve"> 94.37%</w:t>
      </w:r>
      <w:r w:rsidR="00A17E86">
        <w:rPr>
          <w:rFonts w:ascii="Arial" w:hAnsi="Arial" w:cs="Arial"/>
          <w:sz w:val="24"/>
          <w:szCs w:val="24"/>
        </w:rPr>
        <w:t>.</w:t>
      </w:r>
    </w:p>
    <w:p w:rsidR="00A17E86" w:rsidRDefault="00A17E86" w:rsidP="00A17E86">
      <w:pPr>
        <w:pStyle w:val="ListParagraph"/>
        <w:numPr>
          <w:ilvl w:val="0"/>
          <w:numId w:val="3"/>
        </w:numPr>
        <w:rPr>
          <w:rFonts w:ascii="Arial" w:hAnsi="Arial" w:cs="Arial"/>
          <w:sz w:val="24"/>
          <w:szCs w:val="24"/>
        </w:rPr>
      </w:pPr>
      <w:r>
        <w:rPr>
          <w:rFonts w:ascii="Arial" w:hAnsi="Arial" w:cs="Arial"/>
          <w:sz w:val="24"/>
          <w:szCs w:val="24"/>
        </w:rPr>
        <w:t>Variance between Sen and Non Sen , and between FSN and Non FSM is minimal at less than 1%</w:t>
      </w:r>
    </w:p>
    <w:p w:rsidR="00A17E86" w:rsidRDefault="00A17E86" w:rsidP="00A17E86">
      <w:pPr>
        <w:pStyle w:val="ListParagraph"/>
        <w:numPr>
          <w:ilvl w:val="0"/>
          <w:numId w:val="3"/>
        </w:numPr>
        <w:rPr>
          <w:rFonts w:ascii="Arial" w:hAnsi="Arial" w:cs="Arial"/>
          <w:sz w:val="24"/>
          <w:szCs w:val="24"/>
        </w:rPr>
      </w:pPr>
      <w:r>
        <w:rPr>
          <w:rFonts w:ascii="Arial" w:hAnsi="Arial" w:cs="Arial"/>
          <w:sz w:val="24"/>
          <w:szCs w:val="24"/>
        </w:rPr>
        <w:t>Variance across year groups again is not huge less 2%</w:t>
      </w:r>
    </w:p>
    <w:p w:rsidR="00A17E86" w:rsidRDefault="00A17E86" w:rsidP="00A17E86">
      <w:pPr>
        <w:pStyle w:val="ListParagraph"/>
        <w:numPr>
          <w:ilvl w:val="0"/>
          <w:numId w:val="3"/>
        </w:numPr>
        <w:rPr>
          <w:rFonts w:ascii="Arial" w:hAnsi="Arial" w:cs="Arial"/>
          <w:sz w:val="24"/>
          <w:szCs w:val="24"/>
        </w:rPr>
      </w:pPr>
      <w:r>
        <w:rPr>
          <w:rFonts w:ascii="Arial" w:hAnsi="Arial" w:cs="Arial"/>
          <w:sz w:val="24"/>
          <w:szCs w:val="24"/>
        </w:rPr>
        <w:t>Variance between white and BEM pupils is 2% lower for white families</w:t>
      </w:r>
    </w:p>
    <w:p w:rsidR="00A17E86" w:rsidRDefault="00A17E86" w:rsidP="00A17E86">
      <w:pPr>
        <w:pStyle w:val="ListParagraph"/>
        <w:numPr>
          <w:ilvl w:val="0"/>
          <w:numId w:val="3"/>
        </w:numPr>
        <w:rPr>
          <w:rFonts w:ascii="Arial" w:hAnsi="Arial" w:cs="Arial"/>
          <w:sz w:val="24"/>
          <w:szCs w:val="24"/>
        </w:rPr>
      </w:pPr>
      <w:r>
        <w:rPr>
          <w:rFonts w:ascii="Arial" w:hAnsi="Arial" w:cs="Arial"/>
          <w:sz w:val="24"/>
          <w:szCs w:val="24"/>
        </w:rPr>
        <w:t>In short there are no significant target groups thus EWO and school focus is on individual pupils.</w:t>
      </w:r>
    </w:p>
    <w:p w:rsidR="00A17E86" w:rsidRDefault="00A17E86" w:rsidP="00A17E86">
      <w:pPr>
        <w:pStyle w:val="ListParagraph"/>
        <w:numPr>
          <w:ilvl w:val="0"/>
          <w:numId w:val="3"/>
        </w:numPr>
        <w:rPr>
          <w:rFonts w:ascii="Arial" w:hAnsi="Arial" w:cs="Arial"/>
          <w:sz w:val="24"/>
          <w:szCs w:val="24"/>
        </w:rPr>
      </w:pPr>
      <w:r>
        <w:rPr>
          <w:rFonts w:ascii="Arial" w:hAnsi="Arial" w:cs="Arial"/>
          <w:sz w:val="24"/>
          <w:szCs w:val="24"/>
        </w:rPr>
        <w:t>Families have been contacted in accordance with Lea guidelines, with some success,</w:t>
      </w:r>
    </w:p>
    <w:p w:rsidR="00A17E86" w:rsidRDefault="00A17E86" w:rsidP="00A17E86">
      <w:pPr>
        <w:pStyle w:val="ListParagraph"/>
        <w:numPr>
          <w:ilvl w:val="0"/>
          <w:numId w:val="3"/>
        </w:numPr>
        <w:rPr>
          <w:rFonts w:ascii="Arial" w:hAnsi="Arial" w:cs="Arial"/>
          <w:sz w:val="24"/>
          <w:szCs w:val="24"/>
        </w:rPr>
      </w:pPr>
      <w:r>
        <w:rPr>
          <w:rFonts w:ascii="Arial" w:hAnsi="Arial" w:cs="Arial"/>
          <w:sz w:val="24"/>
          <w:szCs w:val="24"/>
        </w:rPr>
        <w:t>The school continues to work hard using positive assemblies and rewards to improve attendance</w:t>
      </w:r>
    </w:p>
    <w:p w:rsidR="00D30234" w:rsidRDefault="00D30234" w:rsidP="00A17E86">
      <w:pPr>
        <w:pStyle w:val="ListParagraph"/>
        <w:numPr>
          <w:ilvl w:val="0"/>
          <w:numId w:val="3"/>
        </w:numPr>
        <w:rPr>
          <w:rFonts w:ascii="Arial" w:hAnsi="Arial" w:cs="Arial"/>
          <w:sz w:val="24"/>
          <w:szCs w:val="24"/>
        </w:rPr>
      </w:pPr>
      <w:r>
        <w:rPr>
          <w:rFonts w:ascii="Arial" w:hAnsi="Arial" w:cs="Arial"/>
          <w:sz w:val="24"/>
          <w:szCs w:val="24"/>
        </w:rPr>
        <w:t>We have 1 school refuser.</w:t>
      </w:r>
    </w:p>
    <w:p w:rsidR="00E9227D" w:rsidRDefault="00E9227D" w:rsidP="00FF389A">
      <w:pPr>
        <w:rPr>
          <w:rFonts w:ascii="Arial" w:hAnsi="Arial" w:cs="Arial"/>
          <w:sz w:val="24"/>
          <w:szCs w:val="24"/>
        </w:rPr>
      </w:pPr>
      <w:bookmarkStart w:id="0" w:name="_GoBack"/>
      <w:bookmarkEnd w:id="0"/>
    </w:p>
    <w:sectPr w:rsidR="00E9227D" w:rsidSect="00E922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55A92"/>
    <w:multiLevelType w:val="hybridMultilevel"/>
    <w:tmpl w:val="C01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95581"/>
    <w:multiLevelType w:val="hybridMultilevel"/>
    <w:tmpl w:val="FE4C5D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AA7FAE"/>
    <w:multiLevelType w:val="hybridMultilevel"/>
    <w:tmpl w:val="31FE3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C35"/>
    <w:rsid w:val="00076491"/>
    <w:rsid w:val="00083742"/>
    <w:rsid w:val="000F3664"/>
    <w:rsid w:val="00141D1F"/>
    <w:rsid w:val="001D0C83"/>
    <w:rsid w:val="0021484F"/>
    <w:rsid w:val="002206CB"/>
    <w:rsid w:val="0026275D"/>
    <w:rsid w:val="00265F70"/>
    <w:rsid w:val="00285036"/>
    <w:rsid w:val="002B3F61"/>
    <w:rsid w:val="002C0F5C"/>
    <w:rsid w:val="003407D8"/>
    <w:rsid w:val="00342905"/>
    <w:rsid w:val="00346364"/>
    <w:rsid w:val="003D518D"/>
    <w:rsid w:val="00432B6E"/>
    <w:rsid w:val="00472B21"/>
    <w:rsid w:val="004B34A5"/>
    <w:rsid w:val="00512A81"/>
    <w:rsid w:val="00513B71"/>
    <w:rsid w:val="00587B1B"/>
    <w:rsid w:val="005B4F29"/>
    <w:rsid w:val="005C10FC"/>
    <w:rsid w:val="005C60CA"/>
    <w:rsid w:val="005C7CC6"/>
    <w:rsid w:val="006235E5"/>
    <w:rsid w:val="00635C40"/>
    <w:rsid w:val="00653D45"/>
    <w:rsid w:val="00674258"/>
    <w:rsid w:val="006861AF"/>
    <w:rsid w:val="006959C9"/>
    <w:rsid w:val="00747728"/>
    <w:rsid w:val="00756281"/>
    <w:rsid w:val="007F4A38"/>
    <w:rsid w:val="00806444"/>
    <w:rsid w:val="008356C5"/>
    <w:rsid w:val="00850D7B"/>
    <w:rsid w:val="00887707"/>
    <w:rsid w:val="008A6B04"/>
    <w:rsid w:val="008B22EA"/>
    <w:rsid w:val="008E033F"/>
    <w:rsid w:val="008F18FD"/>
    <w:rsid w:val="00921186"/>
    <w:rsid w:val="009B6389"/>
    <w:rsid w:val="009C08F0"/>
    <w:rsid w:val="009E035C"/>
    <w:rsid w:val="00A17BCC"/>
    <w:rsid w:val="00A17E86"/>
    <w:rsid w:val="00A822E7"/>
    <w:rsid w:val="00A902CC"/>
    <w:rsid w:val="00AD582B"/>
    <w:rsid w:val="00AE26E5"/>
    <w:rsid w:val="00AE7168"/>
    <w:rsid w:val="00B14C41"/>
    <w:rsid w:val="00B7383C"/>
    <w:rsid w:val="00BA6946"/>
    <w:rsid w:val="00BC557D"/>
    <w:rsid w:val="00BD5650"/>
    <w:rsid w:val="00C15C2F"/>
    <w:rsid w:val="00C22C35"/>
    <w:rsid w:val="00C41F3F"/>
    <w:rsid w:val="00C7620C"/>
    <w:rsid w:val="00C8423C"/>
    <w:rsid w:val="00C90C08"/>
    <w:rsid w:val="00C97D84"/>
    <w:rsid w:val="00CB493A"/>
    <w:rsid w:val="00CD5C9D"/>
    <w:rsid w:val="00CE7FCE"/>
    <w:rsid w:val="00D22F5E"/>
    <w:rsid w:val="00D25B92"/>
    <w:rsid w:val="00D30234"/>
    <w:rsid w:val="00D6548C"/>
    <w:rsid w:val="00DA2B52"/>
    <w:rsid w:val="00DE7F6E"/>
    <w:rsid w:val="00E35F9B"/>
    <w:rsid w:val="00E41ACB"/>
    <w:rsid w:val="00E9227D"/>
    <w:rsid w:val="00EF7DE1"/>
    <w:rsid w:val="00F76A26"/>
    <w:rsid w:val="00FF3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A9D9D8-F77F-4BFE-98F5-845E1E0D2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ACB"/>
    <w:pPr>
      <w:ind w:left="720"/>
      <w:contextualSpacing/>
    </w:pPr>
  </w:style>
  <w:style w:type="table" w:styleId="TableGrid">
    <w:name w:val="Table Grid"/>
    <w:basedOn w:val="TableNormal"/>
    <w:uiPriority w:val="59"/>
    <w:rsid w:val="008E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9D"/>
    <w:rPr>
      <w:rFonts w:ascii="Tahoma" w:hAnsi="Tahoma" w:cs="Tahoma"/>
      <w:sz w:val="16"/>
      <w:szCs w:val="16"/>
    </w:rPr>
  </w:style>
  <w:style w:type="table" w:customStyle="1" w:styleId="TableGrid1">
    <w:name w:val="Table Grid1"/>
    <w:basedOn w:val="TableNormal"/>
    <w:next w:val="TableGrid"/>
    <w:uiPriority w:val="59"/>
    <w:rsid w:val="00E9227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C0F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C0F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0F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C0F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C0F5C"/>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mgladmin</dc:creator>
  <cp:lastModifiedBy>wellesbourne-dh</cp:lastModifiedBy>
  <cp:revision>3</cp:revision>
  <cp:lastPrinted>2017-06-06T12:31:00Z</cp:lastPrinted>
  <dcterms:created xsi:type="dcterms:W3CDTF">2018-12-06T10:17:00Z</dcterms:created>
  <dcterms:modified xsi:type="dcterms:W3CDTF">2018-12-06T10:23:00Z</dcterms:modified>
</cp:coreProperties>
</file>