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89" w:rsidRPr="00BA5B69" w:rsidRDefault="00165F89" w:rsidP="00165F89">
      <w:pPr>
        <w:rPr>
          <w:rFonts w:cstheme="minorHAnsi"/>
          <w:b/>
          <w:color w:val="00B050"/>
          <w:sz w:val="28"/>
          <w:szCs w:val="28"/>
        </w:rPr>
      </w:pPr>
      <w:r w:rsidRPr="00BA5B69">
        <w:rPr>
          <w:rFonts w:cstheme="minorHAnsi"/>
          <w:b/>
          <w:color w:val="00B050"/>
          <w:sz w:val="28"/>
          <w:szCs w:val="28"/>
        </w:rPr>
        <w:t>SEND Report</w:t>
      </w:r>
    </w:p>
    <w:p w:rsidR="00165F89" w:rsidRPr="003E6DA4" w:rsidRDefault="00165F89" w:rsidP="00165F89">
      <w:pPr>
        <w:rPr>
          <w:rFonts w:cstheme="minorHAnsi"/>
        </w:rPr>
      </w:pPr>
      <w:r w:rsidRPr="003E6DA4">
        <w:rPr>
          <w:rFonts w:cstheme="minorHAnsi"/>
        </w:rPr>
        <w:t xml:space="preserve">Wellesbourne </w:t>
      </w:r>
      <w:r>
        <w:rPr>
          <w:rFonts w:cstheme="minorHAnsi"/>
        </w:rPr>
        <w:t>Primary and Nursery School has a</w:t>
      </w:r>
      <w:r w:rsidRPr="003E6DA4">
        <w:rPr>
          <w:rFonts w:cstheme="minorHAnsi"/>
        </w:rPr>
        <w:t>n</w:t>
      </w:r>
      <w:r w:rsidR="008E6D3E">
        <w:rPr>
          <w:rFonts w:cstheme="minorHAnsi"/>
        </w:rPr>
        <w:t xml:space="preserve"> overall SEND percentage of 16.11</w:t>
      </w:r>
      <w:r w:rsidRPr="003E6DA4">
        <w:rPr>
          <w:rFonts w:cstheme="minorHAnsi"/>
        </w:rPr>
        <w:t>%</w:t>
      </w:r>
      <w:r>
        <w:rPr>
          <w:rFonts w:cstheme="minorHAnsi"/>
        </w:rPr>
        <w:t>. T</w:t>
      </w:r>
      <w:r w:rsidR="008E6D3E">
        <w:rPr>
          <w:rFonts w:cstheme="minorHAnsi"/>
        </w:rPr>
        <w:t>his is lower</w:t>
      </w:r>
      <w:r w:rsidRPr="003E6DA4">
        <w:rPr>
          <w:rFonts w:cstheme="minorHAnsi"/>
        </w:rPr>
        <w:t xml:space="preserve"> than last years’ cohort at 1</w:t>
      </w:r>
      <w:r w:rsidR="008E6D3E">
        <w:rPr>
          <w:rFonts w:cstheme="minorHAnsi"/>
        </w:rPr>
        <w:t>6</w:t>
      </w:r>
      <w:r w:rsidRPr="003E6DA4">
        <w:rPr>
          <w:rFonts w:cstheme="minorHAnsi"/>
        </w:rPr>
        <w:t>.79%. Of these children</w:t>
      </w:r>
      <w:r>
        <w:rPr>
          <w:rFonts w:cstheme="minorHAnsi"/>
        </w:rPr>
        <w:t>,</w:t>
      </w:r>
      <w:r w:rsidR="008E6D3E">
        <w:rPr>
          <w:rFonts w:cstheme="minorHAnsi"/>
        </w:rPr>
        <w:t xml:space="preserve"> 2.3% have an EHCP which is higher than last years’ cohort at 1.25</w:t>
      </w:r>
      <w:r w:rsidRPr="003E6DA4">
        <w:rPr>
          <w:rFonts w:cstheme="minorHAnsi"/>
        </w:rPr>
        <w:t>%. In total 6</w:t>
      </w:r>
      <w:r w:rsidR="008E6D3E">
        <w:rPr>
          <w:rFonts w:cstheme="minorHAnsi"/>
        </w:rPr>
        <w:t>3</w:t>
      </w:r>
      <w:r w:rsidRPr="003E6DA4">
        <w:rPr>
          <w:rFonts w:cstheme="minorHAnsi"/>
        </w:rPr>
        <w:t xml:space="preserve"> children are identified as having Special Educational Needs or disability, some wit</w:t>
      </w:r>
      <w:r w:rsidR="008E6D3E">
        <w:rPr>
          <w:rFonts w:cstheme="minorHAnsi"/>
        </w:rPr>
        <w:t>h needs in more than one area, 9</w:t>
      </w:r>
      <w:r w:rsidRPr="003E6DA4">
        <w:rPr>
          <w:rFonts w:cstheme="minorHAnsi"/>
        </w:rPr>
        <w:t xml:space="preserve"> children have an EHCP.</w:t>
      </w:r>
    </w:p>
    <w:p w:rsidR="00165F89" w:rsidRPr="003E6DA4" w:rsidRDefault="00165F89" w:rsidP="00165F89">
      <w:pPr>
        <w:rPr>
          <w:rFonts w:cstheme="minorHAnsi"/>
        </w:rPr>
      </w:pPr>
    </w:p>
    <w:tbl>
      <w:tblPr>
        <w:tblW w:w="10067" w:type="dxa"/>
        <w:tblLook w:val="04A0" w:firstRow="1" w:lastRow="0" w:firstColumn="1" w:lastColumn="0" w:noHBand="0" w:noVBand="1"/>
      </w:tblPr>
      <w:tblGrid>
        <w:gridCol w:w="3803"/>
        <w:gridCol w:w="2063"/>
        <w:gridCol w:w="2063"/>
        <w:gridCol w:w="2138"/>
      </w:tblGrid>
      <w:tr w:rsidR="00165F89" w:rsidRPr="003E6DA4" w:rsidTr="00F316C2">
        <w:trPr>
          <w:trHeight w:val="31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165F89" w:rsidRPr="003E6DA4" w:rsidRDefault="00165F89" w:rsidP="00F31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SEN Need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165F89" w:rsidRPr="003E6DA4" w:rsidRDefault="00165F89" w:rsidP="00F31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No. of Students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165F89" w:rsidRPr="003E6DA4" w:rsidRDefault="00165F89" w:rsidP="00F31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 of SEN Students with this Need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165F89" w:rsidRPr="003E6DA4" w:rsidRDefault="00165F89" w:rsidP="00F31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 of Students with this Need</w:t>
            </w:r>
          </w:p>
        </w:tc>
      </w:tr>
      <w:tr w:rsidR="008E6D3E" w:rsidRPr="003E6DA4" w:rsidTr="00AB2973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Attention Deficit (Hyperactivity) Disorder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5.05%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1.28%</w:t>
            </w:r>
          </w:p>
        </w:tc>
      </w:tr>
      <w:tr w:rsidR="008E6D3E" w:rsidRPr="003E6DA4" w:rsidTr="00F13782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Autistic Spectrum Disorder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21.21%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5.37%</w:t>
            </w:r>
          </w:p>
        </w:tc>
      </w:tr>
      <w:tr w:rsidR="008E6D3E" w:rsidRPr="003E6DA4" w:rsidTr="00376894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Developmental delay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2.02%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0.51%</w:t>
            </w:r>
          </w:p>
        </w:tc>
      </w:tr>
      <w:tr w:rsidR="008E6D3E" w:rsidRPr="003E6DA4" w:rsidTr="002B04FE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Dyslexia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3.03%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0.77%</w:t>
            </w:r>
          </w:p>
        </w:tc>
      </w:tr>
      <w:tr w:rsidR="008E6D3E" w:rsidRPr="003E6DA4" w:rsidTr="0007786E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Moderate Learning Difficulty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2.02%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0.51%</w:t>
            </w:r>
          </w:p>
        </w:tc>
      </w:tr>
      <w:tr w:rsidR="008E6D3E" w:rsidRPr="003E6DA4" w:rsidTr="00A80C6B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Physical Disability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7.07%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1.79%</w:t>
            </w:r>
          </w:p>
        </w:tc>
      </w:tr>
      <w:tr w:rsidR="008E6D3E" w:rsidRPr="003E6DA4" w:rsidTr="002016E1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Social, Emotional &amp; Mental Health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35.35%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8.95%</w:t>
            </w:r>
          </w:p>
        </w:tc>
      </w:tr>
      <w:tr w:rsidR="008E6D3E" w:rsidRPr="003E6DA4" w:rsidTr="00B65EC4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Speech, Language and Communication Needs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66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66.67%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16.88%</w:t>
            </w:r>
          </w:p>
        </w:tc>
      </w:tr>
      <w:tr w:rsidR="008E6D3E" w:rsidRPr="003E6DA4" w:rsidTr="00274E66">
        <w:trPr>
          <w:trHeight w:val="316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3E" w:rsidRPr="003E6DA4" w:rsidRDefault="008E6D3E" w:rsidP="008E6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E6DA4">
              <w:rPr>
                <w:rFonts w:eastAsia="Times New Roman" w:cstheme="minorHAnsi"/>
                <w:color w:val="000000"/>
                <w:lang w:eastAsia="en-GB"/>
              </w:rPr>
              <w:t>Vision Impairment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1.01%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D3E" w:rsidRDefault="008E6D3E" w:rsidP="008E6D3E">
            <w:pPr>
              <w:jc w:val="center"/>
            </w:pPr>
            <w:r>
              <w:t>0.26%</w:t>
            </w:r>
          </w:p>
        </w:tc>
      </w:tr>
    </w:tbl>
    <w:p w:rsidR="00165F89" w:rsidRPr="003E6DA4" w:rsidRDefault="00165F89" w:rsidP="00165F89">
      <w:pPr>
        <w:rPr>
          <w:rFonts w:cstheme="minorHAnsi"/>
        </w:rPr>
      </w:pPr>
    </w:p>
    <w:p w:rsidR="00165F89" w:rsidRPr="003E6DA4" w:rsidRDefault="008E6D3E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|Fifty</w:t>
      </w:r>
      <w:r w:rsidR="00165F89">
        <w:rPr>
          <w:rFonts w:asciiTheme="minorHAnsi" w:hAnsiTheme="minorHAnsi" w:cstheme="minorHAnsi"/>
          <w:sz w:val="22"/>
          <w:szCs w:val="22"/>
        </w:rPr>
        <w:t xml:space="preserve"> additional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children are being monitored under </w:t>
      </w:r>
      <w:proofErr w:type="spellStart"/>
      <w:r w:rsidR="00165F89">
        <w:rPr>
          <w:rFonts w:asciiTheme="minorHAnsi" w:hAnsiTheme="minorHAnsi" w:cstheme="minorHAnsi"/>
          <w:sz w:val="22"/>
          <w:szCs w:val="22"/>
        </w:rPr>
        <w:t>‘c</w:t>
      </w:r>
      <w:r w:rsidR="00165F89" w:rsidRPr="003E6DA4">
        <w:rPr>
          <w:rFonts w:asciiTheme="minorHAnsi" w:hAnsiTheme="minorHAnsi" w:cstheme="minorHAnsi"/>
          <w:sz w:val="22"/>
          <w:szCs w:val="22"/>
        </w:rPr>
        <w:t>ause</w:t>
      </w:r>
      <w:proofErr w:type="spellEnd"/>
      <w:r w:rsidR="00165F89" w:rsidRPr="003E6DA4">
        <w:rPr>
          <w:rFonts w:asciiTheme="minorHAnsi" w:hAnsiTheme="minorHAnsi" w:cstheme="minorHAnsi"/>
          <w:sz w:val="22"/>
          <w:szCs w:val="22"/>
        </w:rPr>
        <w:t xml:space="preserve"> for concern</w:t>
      </w:r>
      <w:r w:rsidR="00165F89">
        <w:rPr>
          <w:rFonts w:asciiTheme="minorHAnsi" w:hAnsiTheme="minorHAnsi" w:cstheme="minorHAnsi"/>
          <w:sz w:val="22"/>
          <w:szCs w:val="22"/>
        </w:rPr>
        <w:t>’ and are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awai</w:t>
      </w:r>
      <w:r w:rsidR="00165F89">
        <w:rPr>
          <w:rFonts w:asciiTheme="minorHAnsi" w:hAnsiTheme="minorHAnsi" w:cstheme="minorHAnsi"/>
          <w:sz w:val="22"/>
          <w:szCs w:val="22"/>
        </w:rPr>
        <w:t>ting further investigation from Speech and Language Team (</w:t>
      </w:r>
      <w:r w:rsidR="00165F89" w:rsidRPr="003E6DA4">
        <w:rPr>
          <w:rFonts w:asciiTheme="minorHAnsi" w:hAnsiTheme="minorHAnsi" w:cstheme="minorHAnsi"/>
          <w:sz w:val="22"/>
          <w:szCs w:val="22"/>
        </w:rPr>
        <w:t>SALT</w:t>
      </w:r>
      <w:r w:rsidR="00165F89">
        <w:rPr>
          <w:rFonts w:asciiTheme="minorHAnsi" w:hAnsiTheme="minorHAnsi" w:cstheme="minorHAnsi"/>
          <w:sz w:val="22"/>
          <w:szCs w:val="22"/>
        </w:rPr>
        <w:t>)</w:t>
      </w:r>
      <w:r w:rsidR="00165F89" w:rsidRPr="003E6DA4">
        <w:rPr>
          <w:rFonts w:asciiTheme="minorHAnsi" w:hAnsiTheme="minorHAnsi" w:cstheme="minorHAnsi"/>
          <w:sz w:val="22"/>
          <w:szCs w:val="22"/>
        </w:rPr>
        <w:t>, A</w:t>
      </w:r>
      <w:r w:rsidR="00165F89">
        <w:rPr>
          <w:rFonts w:asciiTheme="minorHAnsi" w:hAnsiTheme="minorHAnsi" w:cstheme="minorHAnsi"/>
          <w:sz w:val="22"/>
          <w:szCs w:val="22"/>
        </w:rPr>
        <w:t>utism Spectrum Disorder (A</w:t>
      </w:r>
      <w:r w:rsidR="00165F89" w:rsidRPr="003E6DA4">
        <w:rPr>
          <w:rFonts w:asciiTheme="minorHAnsi" w:hAnsiTheme="minorHAnsi" w:cstheme="minorHAnsi"/>
          <w:sz w:val="22"/>
          <w:szCs w:val="22"/>
        </w:rPr>
        <w:t>SD</w:t>
      </w:r>
      <w:r w:rsidR="00165F89">
        <w:rPr>
          <w:rFonts w:asciiTheme="minorHAnsi" w:hAnsiTheme="minorHAnsi" w:cstheme="minorHAnsi"/>
          <w:sz w:val="22"/>
          <w:szCs w:val="22"/>
        </w:rPr>
        <w:t>)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pathway, </w:t>
      </w:r>
      <w:r w:rsidR="00165F89">
        <w:rPr>
          <w:rFonts w:asciiTheme="minorHAnsi" w:hAnsiTheme="minorHAnsi" w:cstheme="minorHAnsi"/>
          <w:sz w:val="22"/>
          <w:szCs w:val="22"/>
        </w:rPr>
        <w:t>Attention Deficit Hyperactivity Disorder (</w:t>
      </w:r>
      <w:r w:rsidR="00165F89" w:rsidRPr="003E6DA4">
        <w:rPr>
          <w:rFonts w:asciiTheme="minorHAnsi" w:hAnsiTheme="minorHAnsi" w:cstheme="minorHAnsi"/>
          <w:sz w:val="22"/>
          <w:szCs w:val="22"/>
        </w:rPr>
        <w:t>ADHD</w:t>
      </w:r>
      <w:r w:rsidR="00165F89">
        <w:rPr>
          <w:rFonts w:asciiTheme="minorHAnsi" w:hAnsiTheme="minorHAnsi" w:cstheme="minorHAnsi"/>
          <w:sz w:val="22"/>
          <w:szCs w:val="22"/>
        </w:rPr>
        <w:t>)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pathway or other external agencies.</w:t>
      </w:r>
    </w:p>
    <w:p w:rsidR="00165F89" w:rsidRDefault="00165F89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</w:p>
    <w:p w:rsidR="00165F89" w:rsidRDefault="00165F89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</w:p>
    <w:p w:rsidR="00165F89" w:rsidRPr="003E6DA4" w:rsidRDefault="00165F89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</w:p>
    <w:p w:rsidR="00165F89" w:rsidRPr="003E6DA4" w:rsidRDefault="00165F89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  <w:r w:rsidRPr="003E6DA4">
        <w:rPr>
          <w:rFonts w:asciiTheme="minorHAnsi" w:hAnsiTheme="minorHAnsi" w:cstheme="minorHAnsi"/>
          <w:sz w:val="22"/>
          <w:szCs w:val="22"/>
        </w:rPr>
        <w:t>Number of referrals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064"/>
        <w:gridCol w:w="2833"/>
      </w:tblGrid>
      <w:tr w:rsidR="00165F89" w:rsidRPr="003E6DA4" w:rsidTr="00F316C2">
        <w:trPr>
          <w:trHeight w:val="313"/>
        </w:trPr>
        <w:tc>
          <w:tcPr>
            <w:tcW w:w="3539" w:type="dxa"/>
            <w:shd w:val="clear" w:color="auto" w:fill="A8D08D" w:themeFill="accent6" w:themeFillTint="99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>Type of referral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 xml:space="preserve">Summer </w:t>
            </w:r>
            <w:r w:rsidR="008E6D3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165F89" w:rsidRPr="003E6DA4" w:rsidRDefault="008E6D3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Autumn (4</w:t>
            </w:r>
            <w:r w:rsidR="00165F89" w:rsidRPr="003E6DA4">
              <w:rPr>
                <w:rFonts w:asciiTheme="minorHAnsi" w:hAnsiTheme="minorHAnsi" w:cstheme="minorHAnsi"/>
                <w:sz w:val="22"/>
                <w:szCs w:val="22"/>
              </w:rPr>
              <w:t xml:space="preserve"> weeks in)</w:t>
            </w:r>
          </w:p>
        </w:tc>
      </w:tr>
      <w:tr w:rsidR="00165F89" w:rsidRPr="003E6DA4" w:rsidTr="00F316C2">
        <w:trPr>
          <w:trHeight w:val="304"/>
        </w:trPr>
        <w:tc>
          <w:tcPr>
            <w:tcW w:w="3539" w:type="dxa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>ASD</w:t>
            </w:r>
          </w:p>
        </w:tc>
        <w:tc>
          <w:tcPr>
            <w:tcW w:w="3544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65F89" w:rsidRPr="003E6DA4" w:rsidTr="00F316C2">
        <w:trPr>
          <w:trHeight w:val="313"/>
        </w:trPr>
        <w:tc>
          <w:tcPr>
            <w:tcW w:w="3539" w:type="dxa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>ADHD</w:t>
            </w:r>
          </w:p>
        </w:tc>
        <w:tc>
          <w:tcPr>
            <w:tcW w:w="3544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65F89" w:rsidRPr="003E6DA4" w:rsidTr="00F316C2">
        <w:trPr>
          <w:trHeight w:val="304"/>
        </w:trPr>
        <w:tc>
          <w:tcPr>
            <w:tcW w:w="3539" w:type="dxa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 xml:space="preserve">Community </w:t>
            </w:r>
            <w:proofErr w:type="spellStart"/>
            <w:r w:rsidRPr="003E6DA4">
              <w:rPr>
                <w:rFonts w:asciiTheme="minorHAnsi" w:hAnsiTheme="minorHAnsi" w:cstheme="minorHAnsi"/>
                <w:sz w:val="22"/>
                <w:szCs w:val="22"/>
              </w:rPr>
              <w:t>Paeds</w:t>
            </w:r>
            <w:proofErr w:type="spellEnd"/>
          </w:p>
        </w:tc>
        <w:tc>
          <w:tcPr>
            <w:tcW w:w="3544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65F89" w:rsidRPr="003E6DA4" w:rsidTr="00F316C2">
        <w:trPr>
          <w:trHeight w:val="313"/>
        </w:trPr>
        <w:tc>
          <w:tcPr>
            <w:tcW w:w="3539" w:type="dxa"/>
          </w:tcPr>
          <w:p w:rsidR="00165F89" w:rsidRPr="003E6DA4" w:rsidRDefault="00165F89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3E6DA4">
              <w:rPr>
                <w:rFonts w:asciiTheme="minorHAnsi" w:hAnsiTheme="minorHAnsi" w:cstheme="minorHAnsi"/>
                <w:sz w:val="22"/>
                <w:szCs w:val="22"/>
              </w:rPr>
              <w:t>SALT</w:t>
            </w:r>
          </w:p>
        </w:tc>
        <w:tc>
          <w:tcPr>
            <w:tcW w:w="3544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65F89" w:rsidRPr="003E6DA4" w:rsidRDefault="0025291E" w:rsidP="00F316C2">
            <w:pPr>
              <w:pStyle w:val="1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165F89" w:rsidRPr="003E6DA4" w:rsidRDefault="00165F89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</w:p>
    <w:p w:rsidR="00165F89" w:rsidRPr="003E6DA4" w:rsidRDefault="008E6D3E" w:rsidP="00165F89">
      <w:pPr>
        <w:pStyle w:val="1bodycop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Children have an EHCP, 2 further children </w:t>
      </w:r>
      <w:r>
        <w:rPr>
          <w:rFonts w:asciiTheme="minorHAnsi" w:hAnsiTheme="minorHAnsi" w:cstheme="minorHAnsi"/>
          <w:sz w:val="22"/>
          <w:szCs w:val="22"/>
        </w:rPr>
        <w:t>have requested</w:t>
      </w:r>
      <w:r w:rsidR="00165F89" w:rsidRPr="003E6DA4">
        <w:rPr>
          <w:rFonts w:asciiTheme="minorHAnsi" w:hAnsiTheme="minorHAnsi" w:cstheme="minorHAnsi"/>
          <w:sz w:val="22"/>
          <w:szCs w:val="22"/>
        </w:rPr>
        <w:t xml:space="preserve"> an EHC assessment. </w:t>
      </w:r>
    </w:p>
    <w:p w:rsidR="00165F89" w:rsidRDefault="00165F89" w:rsidP="00165F89">
      <w:pPr>
        <w:pStyle w:val="1bodycopy"/>
        <w:rPr>
          <w:sz w:val="24"/>
        </w:rPr>
      </w:pPr>
    </w:p>
    <w:p w:rsidR="008E6D3E" w:rsidRDefault="008E6D3E" w:rsidP="00165F89">
      <w:pPr>
        <w:pStyle w:val="1bodycopy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410"/>
        <w:gridCol w:w="4561"/>
      </w:tblGrid>
      <w:tr w:rsidR="00165F89" w:rsidRPr="004E627E" w:rsidTr="00700290">
        <w:trPr>
          <w:trHeight w:val="270"/>
        </w:trPr>
        <w:tc>
          <w:tcPr>
            <w:tcW w:w="2045" w:type="dxa"/>
            <w:shd w:val="clear" w:color="auto" w:fill="A8D08D" w:themeFill="accent6" w:themeFillTint="99"/>
          </w:tcPr>
          <w:p w:rsidR="00165F89" w:rsidRPr="003E6DA4" w:rsidRDefault="00165F89" w:rsidP="00F316C2">
            <w:pPr>
              <w:jc w:val="center"/>
              <w:rPr>
                <w:rFonts w:cstheme="minorHAnsi"/>
                <w:b/>
              </w:rPr>
            </w:pPr>
            <w:r w:rsidRPr="003E6DA4">
              <w:rPr>
                <w:rFonts w:cstheme="minorHAnsi"/>
                <w:b/>
              </w:rPr>
              <w:lastRenderedPageBreak/>
              <w:t>Provider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165F89" w:rsidRPr="003E6DA4" w:rsidRDefault="00165F89" w:rsidP="00F316C2">
            <w:pPr>
              <w:jc w:val="center"/>
              <w:rPr>
                <w:rFonts w:cstheme="minorHAnsi"/>
                <w:b/>
              </w:rPr>
            </w:pPr>
            <w:r w:rsidRPr="003E6DA4">
              <w:rPr>
                <w:rFonts w:cstheme="minorHAnsi"/>
                <w:b/>
              </w:rPr>
              <w:t>Service</w:t>
            </w:r>
          </w:p>
        </w:tc>
        <w:tc>
          <w:tcPr>
            <w:tcW w:w="4561" w:type="dxa"/>
            <w:shd w:val="clear" w:color="auto" w:fill="A8D08D" w:themeFill="accent6" w:themeFillTint="99"/>
          </w:tcPr>
          <w:p w:rsidR="00165F89" w:rsidRPr="003E6DA4" w:rsidRDefault="00165F89" w:rsidP="00F316C2">
            <w:pPr>
              <w:jc w:val="center"/>
              <w:rPr>
                <w:rFonts w:cstheme="minorHAnsi"/>
                <w:b/>
              </w:rPr>
            </w:pPr>
            <w:r w:rsidRPr="003E6DA4">
              <w:rPr>
                <w:rFonts w:cstheme="minorHAnsi"/>
                <w:b/>
              </w:rPr>
              <w:t xml:space="preserve">Effectiveness </w:t>
            </w:r>
          </w:p>
        </w:tc>
      </w:tr>
      <w:tr w:rsidR="00165F89" w:rsidRPr="004E627E" w:rsidTr="00700290">
        <w:trPr>
          <w:trHeight w:val="500"/>
        </w:trPr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Educational Psychology Services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 xml:space="preserve">10 sessions allocated to educational psychologist assessment </w:t>
            </w:r>
          </w:p>
        </w:tc>
        <w:tc>
          <w:tcPr>
            <w:tcW w:w="4561" w:type="dxa"/>
            <w:shd w:val="clear" w:color="auto" w:fill="auto"/>
          </w:tcPr>
          <w:p w:rsidR="00165F89" w:rsidRPr="003E6DA4" w:rsidRDefault="008E6D3E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gramStart"/>
            <w:r w:rsidR="0025291E" w:rsidRPr="0025291E">
              <w:rPr>
                <w:rFonts w:cstheme="minorHAnsi"/>
              </w:rPr>
              <w:t xml:space="preserve">10 </w:t>
            </w:r>
            <w:r w:rsidRPr="0025291E">
              <w:rPr>
                <w:rFonts w:cstheme="minorHAnsi"/>
              </w:rPr>
              <w:t xml:space="preserve"> families</w:t>
            </w:r>
            <w:proofErr w:type="gramEnd"/>
            <w:r w:rsidRPr="002529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have been supported.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Two have been given strategies to work on in school which have been highly beneficial.</w:t>
            </w:r>
          </w:p>
        </w:tc>
      </w:tr>
      <w:tr w:rsidR="00165F89" w:rsidRPr="004E627E" w:rsidTr="00700290">
        <w:trPr>
          <w:trHeight w:val="1005"/>
        </w:trPr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Seniss</w:t>
            </w: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Observations and reports of next steps / assessments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 xml:space="preserve">Whole school provision </w:t>
            </w:r>
          </w:p>
        </w:tc>
        <w:tc>
          <w:tcPr>
            <w:tcW w:w="4561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Triage system now in place 1 child seen this year</w:t>
            </w:r>
            <w:r w:rsidR="00700290">
              <w:rPr>
                <w:rFonts w:cstheme="minorHAnsi"/>
              </w:rPr>
              <w:t xml:space="preserve"> new system has been announced further details </w:t>
            </w:r>
          </w:p>
        </w:tc>
      </w:tr>
      <w:tr w:rsidR="00165F89" w:rsidRPr="004E627E" w:rsidTr="00700290">
        <w:trPr>
          <w:trHeight w:val="1093"/>
        </w:trPr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YPAS seedlings project</w:t>
            </w: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1 to 1 play therapy 2 children per week in a one morning session.</w:t>
            </w:r>
          </w:p>
        </w:tc>
        <w:tc>
          <w:tcPr>
            <w:tcW w:w="4561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Support has been very useful for vulnerable children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Counselling is effective. 8 children benefit from this service annually</w:t>
            </w:r>
          </w:p>
        </w:tc>
      </w:tr>
      <w:tr w:rsidR="00165F89" w:rsidRPr="004E627E" w:rsidTr="00700290">
        <w:trPr>
          <w:trHeight w:val="1190"/>
        </w:trPr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Language Box</w:t>
            </w: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1:1 sessions and group work</w:t>
            </w:r>
          </w:p>
        </w:tc>
        <w:tc>
          <w:tcPr>
            <w:tcW w:w="4561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 xml:space="preserve">Weekly sessions identify children who would benefit most from support to receive a tailored program by the nursery staff. Some early success in supporting children with social communication needs, alongside </w:t>
            </w:r>
            <w:proofErr w:type="spellStart"/>
            <w:r w:rsidRPr="003E6DA4">
              <w:rPr>
                <w:rFonts w:cstheme="minorHAnsi"/>
              </w:rPr>
              <w:t>Wellcom</w:t>
            </w:r>
            <w:proofErr w:type="spellEnd"/>
            <w:r w:rsidRPr="003E6DA4">
              <w:rPr>
                <w:rFonts w:cstheme="minorHAnsi"/>
              </w:rPr>
              <w:t>.</w:t>
            </w:r>
          </w:p>
        </w:tc>
      </w:tr>
      <w:tr w:rsidR="00165F89" w:rsidRPr="004E627E" w:rsidTr="00700290"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ADHD Foundation</w:t>
            </w: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1:1 support and parenting support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</w:p>
        </w:tc>
        <w:tc>
          <w:tcPr>
            <w:tcW w:w="4561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Now accessed via positive futures via triage system, 1:1 sessions working on strategies for children and group sessions for parents.</w:t>
            </w:r>
          </w:p>
          <w:p w:rsidR="00165F89" w:rsidRPr="003E6DA4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 family recently supported</w:t>
            </w:r>
          </w:p>
        </w:tc>
      </w:tr>
      <w:tr w:rsidR="00165F89" w:rsidRPr="004E627E" w:rsidTr="00700290">
        <w:tc>
          <w:tcPr>
            <w:tcW w:w="2045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Together Trust</w:t>
            </w:r>
          </w:p>
        </w:tc>
        <w:tc>
          <w:tcPr>
            <w:tcW w:w="2410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 xml:space="preserve">1:1 sessions and group work </w:t>
            </w:r>
          </w:p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provided as part of consortia</w:t>
            </w:r>
          </w:p>
        </w:tc>
        <w:tc>
          <w:tcPr>
            <w:tcW w:w="4561" w:type="dxa"/>
            <w:shd w:val="clear" w:color="auto" w:fill="auto"/>
          </w:tcPr>
          <w:p w:rsidR="00165F89" w:rsidRPr="003E6DA4" w:rsidRDefault="00165F89" w:rsidP="00F316C2">
            <w:pPr>
              <w:rPr>
                <w:rFonts w:cstheme="minorHAnsi"/>
              </w:rPr>
            </w:pPr>
            <w:r w:rsidRPr="003E6DA4">
              <w:rPr>
                <w:rFonts w:cstheme="minorHAnsi"/>
              </w:rPr>
              <w:t>Advisory teacher works alongside class teachers offering advice for targeted SEN children including social communication intervention and SEMH support.</w:t>
            </w:r>
          </w:p>
        </w:tc>
      </w:tr>
    </w:tbl>
    <w:p w:rsidR="00165F89" w:rsidRDefault="00165F89" w:rsidP="00165F89">
      <w:pPr>
        <w:spacing w:after="24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Safeguarding – Autumn Report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981"/>
        <w:gridCol w:w="947"/>
        <w:gridCol w:w="1063"/>
      </w:tblGrid>
      <w:tr w:rsidR="00165F89" w:rsidRPr="00962A9C" w:rsidTr="00F316C2">
        <w:trPr>
          <w:trHeight w:val="3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Autumn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Spring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Summer</w:t>
            </w:r>
          </w:p>
        </w:tc>
      </w:tr>
      <w:tr w:rsidR="00165F89" w:rsidRPr="00962A9C" w:rsidTr="00F316C2">
        <w:trPr>
          <w:trHeight w:val="3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new Child Protection (level 4) referrals made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new Child in Need (level 4) referrals made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3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new Early Help Assessment Tools raised  (level 2 and 3) (EHATs)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Total number of students subject to Child Protection plans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Total number of students subject to Child in Need plans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Total number of students subject to EHATs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lastRenderedPageBreak/>
              <w:t>Total number of students subject to EHATs that the school is the lead professional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4 (1 family)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 xml:space="preserve">Number and circumstances of allegations against staff </w:t>
            </w:r>
            <w:r w:rsidRPr="00D46C75">
              <w:rPr>
                <w:rFonts w:cstheme="minorHAnsi"/>
                <w:b/>
              </w:rPr>
              <w:t xml:space="preserve">reported </w:t>
            </w:r>
            <w:r w:rsidRPr="00D46C75">
              <w:rPr>
                <w:rFonts w:cstheme="minorHAnsi"/>
              </w:rPr>
              <w:t>to LADO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Children in Care (LAC)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children privately fostered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children who are Young Carers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bullying incidents categories e.g. cyberbullying, homophobic, physical etc. (reference gender, ethnicity, FSM and year group)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incidents of sexual harassment, sexual violence or sexually harmful behaviours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racist incidents (reference gender, ethnicity and year group)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5E12F8" w:rsidRPr="005E12F8" w:rsidRDefault="005E12F8" w:rsidP="00F316C2">
            <w:pPr>
              <w:rPr>
                <w:rFonts w:cstheme="minorHAnsi"/>
                <w:sz w:val="20"/>
                <w:szCs w:val="20"/>
              </w:rPr>
            </w:pPr>
            <w:r w:rsidRPr="005E12F8">
              <w:rPr>
                <w:rFonts w:cstheme="minorHAnsi"/>
                <w:sz w:val="20"/>
                <w:szCs w:val="20"/>
              </w:rPr>
              <w:t>M WB y4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exclusions (reference SEN, gender, FSM, ethnicity and year group)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Default="005E12F8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165F89" w:rsidRPr="00CA212C" w:rsidRDefault="00CA212C" w:rsidP="005E12F8">
            <w:pPr>
              <w:rPr>
                <w:rFonts w:cstheme="minorHAnsi"/>
                <w:sz w:val="18"/>
                <w:szCs w:val="18"/>
              </w:rPr>
            </w:pPr>
            <w:r w:rsidRPr="00CA212C">
              <w:rPr>
                <w:rFonts w:cstheme="minorHAnsi"/>
                <w:sz w:val="18"/>
                <w:szCs w:val="18"/>
              </w:rPr>
              <w:t xml:space="preserve">SEN </w:t>
            </w:r>
            <w:r w:rsidR="005E12F8" w:rsidRPr="00CA212C">
              <w:rPr>
                <w:rFonts w:cstheme="minorHAnsi"/>
                <w:sz w:val="18"/>
                <w:szCs w:val="18"/>
              </w:rPr>
              <w:t>M WB</w:t>
            </w:r>
            <w:r w:rsidRPr="00CA212C">
              <w:rPr>
                <w:rFonts w:cstheme="minorHAnsi"/>
                <w:sz w:val="18"/>
                <w:szCs w:val="18"/>
              </w:rPr>
              <w:t xml:space="preserve"> Y4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203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Number of children taken off roll relating to safeguarding issues, concerns raised or complaints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203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 xml:space="preserve">How many </w:t>
            </w:r>
            <w:r>
              <w:rPr>
                <w:rFonts w:cstheme="minorHAnsi"/>
              </w:rPr>
              <w:t>Smooth W</w:t>
            </w:r>
            <w:r w:rsidRPr="00D46C75">
              <w:rPr>
                <w:rFonts w:cstheme="minorHAnsi"/>
              </w:rPr>
              <w:t>all alerts has school had since last governor meeting?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70029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:rsidR="00CA212C" w:rsidRPr="00962A9C" w:rsidRDefault="00CA212C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How many Operation Encompass notifications has the school had?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585580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How many Operation Encompass notifications have led to EHATs raised?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700290" w:rsidP="0070029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D46C75" w:rsidRDefault="00165F89" w:rsidP="00F316C2">
            <w:pPr>
              <w:rPr>
                <w:rFonts w:cstheme="minorHAnsi"/>
              </w:rPr>
            </w:pPr>
            <w:r w:rsidRPr="00D46C75">
              <w:rPr>
                <w:rFonts w:cstheme="minorHAnsi"/>
              </w:rPr>
              <w:t>How many Operation Encompass notifications have led to referral to Children’s Services for statutory services?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D46C75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of CSE?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of FGM?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of forced marriage?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of extremism and radicalisation?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sexual or criminal of exploitation through gang activity?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lastRenderedPageBreak/>
              <w:t xml:space="preserve">How many referrals have been made to </w:t>
            </w:r>
            <w:proofErr w:type="spellStart"/>
            <w:r w:rsidRPr="00962A9C">
              <w:rPr>
                <w:rFonts w:cstheme="minorHAnsi"/>
              </w:rPr>
              <w:t>Careline</w:t>
            </w:r>
            <w:proofErr w:type="spellEnd"/>
            <w:r w:rsidRPr="00962A9C">
              <w:rPr>
                <w:rFonts w:cstheme="minorHAnsi"/>
              </w:rPr>
              <w:t xml:space="preserve"> in respect of children missing education?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CA212C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How many children have Alternative Education Provision? How are these children monitored and safeguarded?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How many children are currently ‘dual roll’? How are these children monitored and safeguarded?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 xml:space="preserve">How many children attend Alternative Education Provision are subject to multi-agency plans (Early Help Assessment, CIN, CP)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9" w:rsidRPr="00962A9C" w:rsidRDefault="00165F89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  <w:tr w:rsidR="00165F89" w:rsidRPr="00962A9C" w:rsidTr="00F316C2">
        <w:trPr>
          <w:trHeight w:val="38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5F89" w:rsidRPr="00962A9C" w:rsidRDefault="00165F89" w:rsidP="00F316C2">
            <w:pPr>
              <w:rPr>
                <w:rFonts w:cstheme="minorHAnsi"/>
              </w:rPr>
            </w:pPr>
            <w:r w:rsidRPr="00962A9C">
              <w:rPr>
                <w:rFonts w:cstheme="minorHAnsi"/>
              </w:rPr>
              <w:t>How many incidents of unacceptable behaviour of adults has school dealt with since last governors?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CA212C" w:rsidP="00F316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A9C" w:rsidRDefault="00165F89" w:rsidP="00F316C2">
            <w:pPr>
              <w:rPr>
                <w:rFonts w:cstheme="minorHAnsi"/>
              </w:rPr>
            </w:pPr>
          </w:p>
        </w:tc>
      </w:tr>
    </w:tbl>
    <w:p w:rsidR="00A26B56" w:rsidRDefault="00CA212C"/>
    <w:sectPr w:rsidR="00A26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89"/>
    <w:rsid w:val="00165F89"/>
    <w:rsid w:val="00240FB3"/>
    <w:rsid w:val="0025291E"/>
    <w:rsid w:val="00585580"/>
    <w:rsid w:val="005E12F8"/>
    <w:rsid w:val="00700290"/>
    <w:rsid w:val="008E6D3E"/>
    <w:rsid w:val="009568FA"/>
    <w:rsid w:val="00C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AAFF"/>
  <w15:chartTrackingRefBased/>
  <w15:docId w15:val="{8B6432D5-7A94-4295-BB73-585278E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165F89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165F89"/>
    <w:rPr>
      <w:rFonts w:ascii="Arial" w:eastAsia="MS Mincho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16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Ryan</dc:creator>
  <cp:keywords/>
  <dc:description/>
  <cp:lastModifiedBy>C Willshire</cp:lastModifiedBy>
  <cp:revision>2</cp:revision>
  <dcterms:created xsi:type="dcterms:W3CDTF">2024-10-03T07:51:00Z</dcterms:created>
  <dcterms:modified xsi:type="dcterms:W3CDTF">2024-10-03T07:51:00Z</dcterms:modified>
</cp:coreProperties>
</file>