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74F4E" w:rsidR="00E66558" w:rsidRDefault="009D71E8" w14:paraId="2A7D54B1" w14:textId="2C7F4B28">
      <w:pPr>
        <w:pStyle w:val="Heading1"/>
        <w:rPr>
          <w:color w:val="00B050"/>
        </w:rPr>
      </w:pPr>
      <w:bookmarkStart w:name="_Toc400361362" w:id="0"/>
      <w:bookmarkStart w:name="_Toc443397153" w:id="1"/>
      <w:bookmarkStart w:name="_Toc357771638" w:id="2"/>
      <w:bookmarkStart w:name="_Toc346793416" w:id="3"/>
      <w:bookmarkStart w:name="_Toc328122777" w:id="4"/>
      <w:r w:rsidRPr="58B3727D">
        <w:rPr>
          <w:color w:val="00B050"/>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Pr="58B3727D" w:rsidR="00226317">
        <w:rPr>
          <w:color w:val="00B050"/>
        </w:rPr>
        <w:t xml:space="preserve"> – </w:t>
      </w:r>
      <w:r w:rsidRPr="58B3727D" w:rsidR="00B348A4">
        <w:rPr>
          <w:color w:val="00B050"/>
        </w:rPr>
        <w:t>Wellesbourne Primary and Nursery School</w:t>
      </w:r>
      <w:r w:rsidRPr="58B3727D" w:rsidR="00C01466">
        <w:rPr>
          <w:color w:val="00B050"/>
        </w:rPr>
        <w:t xml:space="preserve"> 202</w:t>
      </w:r>
      <w:r w:rsidRPr="58B3727D" w:rsidR="41BD232C">
        <w:rPr>
          <w:color w:val="00B050"/>
        </w:rPr>
        <w:t>5</w:t>
      </w:r>
      <w:r w:rsidRPr="58B3727D" w:rsidR="00C01466">
        <w:rPr>
          <w:color w:val="00B050"/>
        </w:rPr>
        <w:t>-202</w:t>
      </w:r>
      <w:r w:rsidRPr="58B3727D" w:rsidR="6D6B8B5B">
        <w:rPr>
          <w:color w:val="00B050"/>
        </w:rPr>
        <w:t>6</w:t>
      </w:r>
    </w:p>
    <w:p w:rsidR="008E000B" w:rsidP="00C62989" w:rsidRDefault="008E000B" w14:paraId="4EE876CB" w14:textId="77777777"/>
    <w:p w:rsidR="00E66558" w:rsidP="00C62989" w:rsidRDefault="009D71E8" w14:paraId="2A7D54B2" w14:textId="3EE41438">
      <w:pPr>
        <w:rPr>
          <w:b/>
        </w:rPr>
      </w:pPr>
      <w:r>
        <w:t xml:space="preserve">This statement details our school’s use of pupil premium (and recovery premium) 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Pr="00474F4E" w:rsidR="00E66558" w:rsidRDefault="009D71E8" w14:paraId="2A7D54B4" w14:textId="2CAB096C">
      <w:pPr>
        <w:pStyle w:val="Heading2"/>
        <w:rPr>
          <w:color w:val="00B050"/>
        </w:rPr>
      </w:pPr>
      <w:r w:rsidRPr="00474F4E">
        <w:rPr>
          <w:color w:val="00B05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58B3727D"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4B6" w14:textId="77777777">
            <w:pPr>
              <w:pStyle w:val="TableHeader"/>
              <w:jc w:val="left"/>
            </w:pPr>
            <w:r>
              <w:t>Data</w:t>
            </w:r>
          </w:p>
        </w:tc>
      </w:tr>
      <w:tr w:rsidR="002940F3" w:rsidTr="58B3727D"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8" w14:textId="7E4C52DD">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59720B28" w14:paraId="2A7D54B9" w14:textId="5F3F797F">
            <w:pPr>
              <w:pStyle w:val="TableRow"/>
            </w:pPr>
            <w:r>
              <w:t>375</w:t>
            </w:r>
            <w:r w:rsidR="51AB7CE0">
              <w:t xml:space="preserve"> (Inc</w:t>
            </w:r>
            <w:r w:rsidR="79C07ABE">
              <w:t>luding Nursery)</w:t>
            </w:r>
          </w:p>
        </w:tc>
      </w:tr>
      <w:tr w:rsidR="002940F3" w:rsidTr="58B3727D"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B" w14:textId="04774D6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9B0AEB" w:rsidRDefault="79C07ABE" w14:paraId="2A7D54BC" w14:textId="698C67AA">
            <w:pPr>
              <w:pStyle w:val="TableRow"/>
            </w:pPr>
            <w:r>
              <w:t>5</w:t>
            </w:r>
            <w:r w:rsidR="5BA748C6">
              <w:t>7.5</w:t>
            </w:r>
            <w:r>
              <w:t>% (2</w:t>
            </w:r>
            <w:r w:rsidR="7C509F76">
              <w:t>07</w:t>
            </w:r>
            <w:r>
              <w:t>)</w:t>
            </w:r>
          </w:p>
        </w:tc>
      </w:tr>
      <w:tr w:rsidR="002940F3" w:rsidTr="58B3727D"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E" w14:textId="2862A41A">
            <w:pPr>
              <w:pStyle w:val="TableRow"/>
            </w:pPr>
            <w:r>
              <w:t xml:space="preserve">Academic year/years that our current pupil premium strategy plan covers </w:t>
            </w:r>
            <w:r w:rsidRPr="1CBF4D92">
              <w:rPr>
                <w:b/>
              </w:rPr>
              <w:t>(3 year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0B600D" w14:paraId="2A7D54BF" w14:textId="588DF026">
            <w:pPr>
              <w:pStyle w:val="TableRow"/>
            </w:pPr>
            <w:r>
              <w:t>2023/24-2026/27</w:t>
            </w:r>
          </w:p>
        </w:tc>
      </w:tr>
      <w:tr w:rsidR="002940F3" w:rsidTr="58B3727D"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1" w14:textId="0F472705">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79C07ABE" w14:paraId="2A7D54C2" w14:textId="49BF17BD">
            <w:pPr>
              <w:pStyle w:val="TableRow"/>
            </w:pPr>
            <w:r>
              <w:t>November 202</w:t>
            </w:r>
            <w:r w:rsidR="2801AE2F">
              <w:t>5</w:t>
            </w:r>
          </w:p>
        </w:tc>
      </w:tr>
      <w:tr w:rsidR="002940F3" w:rsidTr="58B3727D"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4" w14:textId="0C76634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79C07ABE" w14:paraId="2A7D54C5" w14:textId="3548B72D">
            <w:pPr>
              <w:pStyle w:val="TableRow"/>
            </w:pPr>
            <w:r>
              <w:t>November 202</w:t>
            </w:r>
            <w:r w:rsidR="37399839">
              <w:t>6</w:t>
            </w:r>
          </w:p>
        </w:tc>
      </w:tr>
      <w:tr w:rsidR="002940F3" w:rsidTr="58B3727D"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7" w14:textId="7605248E">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C3252E" w14:paraId="2A7D54C8" w14:textId="008D7BD6">
            <w:pPr>
              <w:pStyle w:val="TableRow"/>
            </w:pPr>
            <w:r>
              <w:t>Carl Gilbertson</w:t>
            </w:r>
          </w:p>
        </w:tc>
      </w:tr>
      <w:tr w:rsidR="002940F3" w:rsidTr="58B3727D"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A" w14:textId="5DC091D2">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B348A4" w14:paraId="2A7D54CB" w14:textId="567DBD25">
            <w:pPr>
              <w:pStyle w:val="TableRow"/>
            </w:pPr>
            <w:r>
              <w:t>Nicola Ryan</w:t>
            </w:r>
          </w:p>
        </w:tc>
      </w:tr>
      <w:tr w:rsidR="002940F3" w:rsidTr="58B3727D"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D" w14:textId="08FA5419">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B348A4" w14:paraId="2A7D54CE" w14:textId="76469953">
            <w:pPr>
              <w:pStyle w:val="TableRow"/>
            </w:pPr>
            <w:r>
              <w:t>Carl Gilbertson</w:t>
            </w:r>
          </w:p>
        </w:tc>
      </w:tr>
    </w:tbl>
    <w:bookmarkEnd w:id="2"/>
    <w:bookmarkEnd w:id="3"/>
    <w:bookmarkEnd w:id="4"/>
    <w:p w:rsidRPr="00474F4E" w:rsidR="00E66558" w:rsidP="005464A1" w:rsidRDefault="009D71E8" w14:paraId="2A7D54D3" w14:textId="77777777">
      <w:pPr>
        <w:pStyle w:val="Heading2"/>
        <w:rPr>
          <w:color w:val="00B050"/>
        </w:rPr>
      </w:pPr>
      <w:r w:rsidRPr="00474F4E">
        <w:rPr>
          <w:color w:val="00B05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58B3727D"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58B3727D"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8" w14:textId="0F270600">
            <w:pPr>
              <w:pStyle w:val="TableRow"/>
            </w:pPr>
            <w:r>
              <w:t>£</w:t>
            </w:r>
            <w:r w:rsidR="4E8D2A33">
              <w:t>311,971</w:t>
            </w:r>
          </w:p>
        </w:tc>
      </w:tr>
      <w:tr w:rsidR="00E66558" w:rsidTr="58B3727D"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A" w14:textId="77777777">
            <w:pPr>
              <w:pStyle w:val="TableRow"/>
            </w:pPr>
            <w: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B" w14:textId="2C2EDABD">
            <w:pPr>
              <w:pStyle w:val="TableRow"/>
            </w:pPr>
            <w:r>
              <w:t>£</w:t>
            </w:r>
            <w:r w:rsidR="0967B666">
              <w:t>0</w:t>
            </w:r>
          </w:p>
        </w:tc>
      </w:tr>
      <w:tr w:rsidR="00E66558" w:rsidTr="58B3727D"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9C0914" w:rsidRDefault="009D71E8" w14:paraId="3B2B4CFA" w14:textId="77777777">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rsidRPr="00586FBC" w:rsidR="001E206F" w:rsidP="001852E0" w:rsidRDefault="0092287F" w14:paraId="2A7D54DD" w14:textId="0DA06698">
            <w:pPr>
              <w:pStyle w:val="TableRow"/>
              <w:rPr>
                <w:i/>
                <w:iCs/>
              </w:rPr>
            </w:pPr>
            <w:r>
              <w:rPr>
                <w:i/>
                <w:iCs/>
              </w:rPr>
              <w:t xml:space="preserve"> </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E" w14:textId="21F4A4FB">
            <w:pPr>
              <w:pStyle w:val="TableRow"/>
            </w:pPr>
            <w:r>
              <w:t>£</w:t>
            </w:r>
            <w:r w:rsidR="00B348A4">
              <w:t>0</w:t>
            </w:r>
          </w:p>
        </w:tc>
      </w:tr>
      <w:tr w:rsidR="00E66558" w:rsidTr="58B3727D"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348A4" w:rsidR="00E66558" w:rsidP="00B348A4" w:rsidRDefault="009D71E8" w14:paraId="2A7D54E1" w14:textId="401459EE">
            <w:pPr>
              <w:pStyle w:val="TableRow"/>
              <w:spacing w:after="120"/>
              <w:rPr>
                <w:b/>
              </w:rPr>
            </w:pPr>
            <w:r>
              <w:rPr>
                <w:b/>
              </w:rPr>
              <w:t>Total budget for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2" w14:textId="63F34C50">
            <w:pPr>
              <w:pStyle w:val="TableRow"/>
            </w:pPr>
            <w:r>
              <w:t>£</w:t>
            </w:r>
            <w:r w:rsidR="0F313DB8">
              <w:t>311,971</w:t>
            </w:r>
          </w:p>
        </w:tc>
      </w:tr>
    </w:tbl>
    <w:p w:rsidRPr="00474F4E" w:rsidR="00E66558" w:rsidRDefault="009D71E8" w14:paraId="2A7D54E4" w14:textId="77777777">
      <w:pPr>
        <w:pStyle w:val="Heading1"/>
        <w:rPr>
          <w:color w:val="00B050"/>
        </w:rPr>
      </w:pPr>
      <w:r w:rsidRPr="00474F4E">
        <w:rPr>
          <w:color w:val="00B050"/>
        </w:rPr>
        <w:lastRenderedPageBreak/>
        <w:t>Part A: Pupil premium strategy plan</w:t>
      </w:r>
    </w:p>
    <w:p w:rsidRPr="00474F4E" w:rsidR="00E66558" w:rsidRDefault="009D71E8" w14:paraId="2A7D54E5" w14:textId="77777777">
      <w:pPr>
        <w:pStyle w:val="Heading2"/>
        <w:rPr>
          <w:color w:val="00B050"/>
        </w:rPr>
      </w:pPr>
      <w:bookmarkStart w:name="_Toc357771640" w:id="14"/>
      <w:bookmarkStart w:name="_Toc346793418" w:id="15"/>
      <w:r w:rsidRPr="00474F4E">
        <w:rPr>
          <w:color w:val="00B05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16CDE274" w14:paraId="2A7D54EA" w14:textId="77777777">
        <w:trPr>
          <w:trHeight w:val="10338"/>
        </w:trPr>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DD5ED1" w:rsidP="00DD5ED1" w:rsidRDefault="00DD5ED1" w14:paraId="321B0B1A" w14:textId="77777777">
            <w:pPr>
              <w:spacing w:before="120"/>
              <w:rPr>
                <w:rFonts w:asciiTheme="minorHAnsi" w:hAnsiTheme="minorHAnsi" w:cstheme="minorHAnsi"/>
                <w:iCs/>
                <w:color w:val="auto"/>
                <w:sz w:val="22"/>
                <w:szCs w:val="22"/>
                <w:lang w:val="en-US"/>
              </w:rPr>
            </w:pPr>
            <w:r w:rsidRPr="00027148">
              <w:rPr>
                <w:rFonts w:asciiTheme="minorHAnsi" w:hAnsiTheme="minorHAnsi" w:cstheme="minorHAnsi"/>
                <w:iCs/>
                <w:color w:val="auto"/>
                <w:sz w:val="22"/>
                <w:szCs w:val="22"/>
              </w:rPr>
              <w:t xml:space="preserve">Our intention is that all pupils, irrespective of their background or the challenges they face, make good progress and achieve high attainment across all subject areas. </w:t>
            </w:r>
            <w:r w:rsidRPr="00027148">
              <w:rPr>
                <w:rFonts w:asciiTheme="minorHAnsi" w:hAnsiTheme="minorHAnsi" w:cstheme="minorHAnsi"/>
                <w:iCs/>
                <w:color w:val="auto"/>
                <w:sz w:val="22"/>
                <w:szCs w:val="22"/>
                <w:lang w:val="en-US"/>
              </w:rPr>
              <w:t xml:space="preserve">The focus of our pupil premium strategy is to support disadvantaged pupils to achieve that goal, including good progress for those who are already high attainers. </w:t>
            </w:r>
          </w:p>
          <w:p w:rsidRPr="00027148" w:rsidR="00DD5ED1" w:rsidP="00DD5ED1" w:rsidRDefault="00DD5ED1" w14:paraId="5285BAE9" w14:textId="77777777">
            <w:pPr>
              <w:spacing w:before="120"/>
              <w:rPr>
                <w:rFonts w:asciiTheme="minorHAnsi" w:hAnsiTheme="minorHAnsi" w:cstheme="minorHAnsi"/>
                <w:iCs/>
                <w:color w:val="auto"/>
                <w:sz w:val="22"/>
                <w:szCs w:val="22"/>
              </w:rPr>
            </w:pPr>
            <w:r w:rsidRPr="00027148">
              <w:rPr>
                <w:rFonts w:asciiTheme="minorHAnsi" w:hAnsiTheme="minorHAnsi" w:cstheme="minorHAnsi"/>
                <w:iCs/>
                <w:color w:val="auto"/>
                <w:sz w:val="22"/>
                <w:szCs w:val="22"/>
                <w:lang w:val="en-US"/>
              </w:rPr>
              <w:t>We will consider the challenges faced by vulnerable pupils, such as those who have a social worker or are young carers. The activity we have outlined in this statement is also intended to support their needs, regardless of whether they are disadvantaged or not.</w:t>
            </w:r>
          </w:p>
          <w:p w:rsidR="00D0391E" w:rsidP="00DD5ED1" w:rsidRDefault="00DD5ED1" w14:paraId="29591B35" w14:textId="77777777">
            <w:pPr>
              <w:rPr>
                <w:rFonts w:asciiTheme="minorHAnsi" w:hAnsiTheme="minorHAnsi" w:cstheme="minorHAnsi"/>
                <w:iCs/>
                <w:color w:val="auto"/>
                <w:sz w:val="22"/>
                <w:szCs w:val="22"/>
                <w:lang w:val="en-US"/>
              </w:rPr>
            </w:pPr>
            <w:r w:rsidRPr="00027148">
              <w:rPr>
                <w:rFonts w:asciiTheme="minorHAnsi" w:hAnsiTheme="minorHAnsi" w:cstheme="minorHAnsi"/>
                <w:iCs/>
                <w:color w:val="auto"/>
                <w:sz w:val="22"/>
                <w:szCs w:val="22"/>
                <w:lang w:val="en-US"/>
              </w:rPr>
              <w:t>Quality first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rsidRPr="00D0391E" w:rsidR="00DD5ED1" w:rsidP="00DD5ED1" w:rsidRDefault="00DD5ED1" w14:paraId="1D33E1E7" w14:textId="7B9AAFF8">
            <w:pPr>
              <w:rPr>
                <w:rFonts w:asciiTheme="minorHAnsi" w:hAnsiTheme="minorHAnsi" w:cstheme="minorHAnsi"/>
                <w:iCs/>
                <w:color w:val="auto"/>
                <w:sz w:val="22"/>
                <w:szCs w:val="22"/>
                <w:lang w:val="en-US"/>
              </w:rPr>
            </w:pPr>
            <w:r w:rsidRPr="00027148">
              <w:rPr>
                <w:rFonts w:asciiTheme="minorHAnsi" w:hAnsiTheme="minorHAnsi" w:cstheme="minorHAnsi"/>
                <w:sz w:val="22"/>
                <w:szCs w:val="22"/>
              </w:rPr>
              <w:t xml:space="preserve">We have used the EEF Pupil Premium Guide April 2022 to support our strategy for </w:t>
            </w:r>
            <w:r w:rsidR="00D0391E">
              <w:rPr>
                <w:rFonts w:asciiTheme="minorHAnsi" w:hAnsiTheme="minorHAnsi" w:cstheme="minorHAnsi"/>
                <w:sz w:val="22"/>
                <w:szCs w:val="22"/>
              </w:rPr>
              <w:t xml:space="preserve">spending Pupil Premium funding and </w:t>
            </w:r>
            <w:r w:rsidRPr="00027148">
              <w:rPr>
                <w:rFonts w:asciiTheme="minorHAnsi" w:hAnsiTheme="minorHAnsi" w:cstheme="minorHAnsi"/>
                <w:sz w:val="22"/>
                <w:szCs w:val="22"/>
              </w:rPr>
              <w:t xml:space="preserve">have adopted a tiered approach to spending: </w:t>
            </w:r>
          </w:p>
          <w:p w:rsidRPr="00027148" w:rsidR="00DD5ED1" w:rsidP="00DD5ED1" w:rsidRDefault="00DD5ED1" w14:paraId="6A6E2BB0" w14:textId="25EDAD2F">
            <w:pPr>
              <w:rPr>
                <w:rFonts w:asciiTheme="minorHAnsi" w:hAnsiTheme="minorHAnsi" w:cstheme="minorHAnsi"/>
                <w:sz w:val="22"/>
                <w:szCs w:val="22"/>
              </w:rPr>
            </w:pPr>
            <w:r w:rsidRPr="00027148">
              <w:rPr>
                <w:rFonts w:asciiTheme="minorHAnsi" w:hAnsiTheme="minorHAnsi" w:cstheme="minorHAnsi"/>
                <w:sz w:val="22"/>
                <w:szCs w:val="22"/>
              </w:rPr>
              <w:t xml:space="preserve">1. Quality First Teaching - Ensuring an effective, skilled teacher is in front </w:t>
            </w:r>
            <w:r w:rsidRPr="00027148" w:rsidR="000D57B2">
              <w:rPr>
                <w:rFonts w:asciiTheme="minorHAnsi" w:hAnsiTheme="minorHAnsi" w:cstheme="minorHAnsi"/>
                <w:sz w:val="22"/>
                <w:szCs w:val="22"/>
              </w:rPr>
              <w:t>of every class.</w:t>
            </w:r>
          </w:p>
          <w:p w:rsidRPr="00027148" w:rsidR="00DD5ED1" w:rsidP="00DD5ED1" w:rsidRDefault="00DD5ED1" w14:paraId="1F8EF7CD" w14:textId="43B9A90B">
            <w:pPr>
              <w:rPr>
                <w:rFonts w:asciiTheme="minorHAnsi" w:hAnsiTheme="minorHAnsi" w:cstheme="minorHAnsi"/>
                <w:sz w:val="22"/>
                <w:szCs w:val="22"/>
              </w:rPr>
            </w:pPr>
            <w:r w:rsidRPr="00027148">
              <w:rPr>
                <w:rFonts w:asciiTheme="minorHAnsi" w:hAnsiTheme="minorHAnsi" w:cstheme="minorHAnsi"/>
                <w:sz w:val="22"/>
                <w:szCs w:val="22"/>
              </w:rPr>
              <w:t xml:space="preserve">2. Targeted academic support </w:t>
            </w:r>
            <w:r w:rsidRPr="00027148" w:rsidR="000D57B2">
              <w:rPr>
                <w:rFonts w:asciiTheme="minorHAnsi" w:hAnsiTheme="minorHAnsi" w:cstheme="minorHAnsi"/>
                <w:sz w:val="22"/>
                <w:szCs w:val="22"/>
              </w:rPr>
              <w:t>–</w:t>
            </w:r>
            <w:r w:rsidRPr="00027148">
              <w:rPr>
                <w:rFonts w:asciiTheme="minorHAnsi" w:hAnsiTheme="minorHAnsi" w:cstheme="minorHAnsi"/>
                <w:sz w:val="22"/>
                <w:szCs w:val="22"/>
              </w:rPr>
              <w:t xml:space="preserve"> </w:t>
            </w:r>
            <w:r w:rsidRPr="00027148" w:rsidR="000D57B2">
              <w:rPr>
                <w:rFonts w:asciiTheme="minorHAnsi" w:hAnsiTheme="minorHAnsi" w:cstheme="minorHAnsi"/>
                <w:sz w:val="22"/>
                <w:szCs w:val="22"/>
              </w:rPr>
              <w:t xml:space="preserve">A clear robust process that allows teaching staff to identify children who are behind or who may be making less than expected progress. </w:t>
            </w:r>
            <w:r w:rsidRPr="00027148">
              <w:rPr>
                <w:rFonts w:asciiTheme="minorHAnsi" w:hAnsiTheme="minorHAnsi" w:cstheme="minorHAnsi"/>
                <w:sz w:val="22"/>
                <w:szCs w:val="22"/>
              </w:rPr>
              <w:t xml:space="preserve">Evidence consistently shows the positive impact that targeted academic support can have, including on those who are not making good progress. Considering how classroom teachers and teaching assistants can provide targeted academic support, including how to link structured one-to-one or small group intervention to classroom teaching, is likely to be a key component of an effective Pupil Premium strategy. The EEF have evaluated the impact of a range of strategies and schools are encouraged to make use of these resources. </w:t>
            </w:r>
          </w:p>
          <w:p w:rsidRPr="00D0391E" w:rsidR="00E66558" w:rsidP="16CDE274" w:rsidRDefault="00DD5ED1" w14:paraId="2A7D54E9" w14:textId="346E2299">
            <w:pPr>
              <w:rPr>
                <w:rFonts w:ascii="Calibri" w:hAnsi="Calibri" w:cs="Calibri" w:asciiTheme="minorAscii" w:hAnsiTheme="minorAscii" w:cstheme="minorAscii"/>
                <w:sz w:val="22"/>
                <w:szCs w:val="22"/>
              </w:rPr>
            </w:pPr>
            <w:r w:rsidRPr="16CDE274" w:rsidR="3936685A">
              <w:rPr>
                <w:rFonts w:ascii="Calibri" w:hAnsi="Calibri" w:cs="Calibri" w:asciiTheme="minorAscii" w:hAnsiTheme="minorAscii" w:cstheme="minorAscii"/>
                <w:sz w:val="22"/>
                <w:szCs w:val="22"/>
              </w:rPr>
              <w:t xml:space="preserve">3. Wider strategies - Wider strategies relate to the most significant non-academic barriers to success in school, including attendance, </w:t>
            </w:r>
            <w:r w:rsidRPr="16CDE274" w:rsidR="3936685A">
              <w:rPr>
                <w:rFonts w:ascii="Calibri" w:hAnsi="Calibri" w:cs="Calibri" w:asciiTheme="minorAscii" w:hAnsiTheme="minorAscii" w:cstheme="minorAscii"/>
                <w:sz w:val="22"/>
                <w:szCs w:val="22"/>
              </w:rPr>
              <w:t>behaviour</w:t>
            </w:r>
            <w:r w:rsidRPr="16CDE274" w:rsidR="3936685A">
              <w:rPr>
                <w:rFonts w:ascii="Calibri" w:hAnsi="Calibri" w:cs="Calibri" w:asciiTheme="minorAscii" w:hAnsiTheme="minorAscii" w:cstheme="minorAscii"/>
                <w:sz w:val="22"/>
                <w:szCs w:val="22"/>
              </w:rPr>
              <w:t xml:space="preserve"> and social and emotional support. While many barriers may be common between schools, it is also likely that the specific features of the community each school serves will affect spending in this category. The purpose of this strategy is to outline how the Pupil Premium Grant will be </w:t>
            </w:r>
            <w:r w:rsidRPr="16CDE274" w:rsidR="3936685A">
              <w:rPr>
                <w:rFonts w:ascii="Calibri" w:hAnsi="Calibri" w:cs="Calibri" w:asciiTheme="minorAscii" w:hAnsiTheme="minorAscii" w:cstheme="minorAscii"/>
                <w:sz w:val="22"/>
                <w:szCs w:val="22"/>
              </w:rPr>
              <w:t>allocated</w:t>
            </w:r>
            <w:r w:rsidRPr="16CDE274" w:rsidR="3936685A">
              <w:rPr>
                <w:rFonts w:ascii="Calibri" w:hAnsi="Calibri" w:cs="Calibri" w:asciiTheme="minorAscii" w:hAnsiTheme="minorAscii" w:cstheme="minorAscii"/>
                <w:sz w:val="22"/>
                <w:szCs w:val="22"/>
              </w:rPr>
              <w:t xml:space="preserve"> to support pupils during the period between September 202</w:t>
            </w:r>
            <w:r w:rsidRPr="16CDE274" w:rsidR="4B249CC0">
              <w:rPr>
                <w:rFonts w:ascii="Calibri" w:hAnsi="Calibri" w:cs="Calibri" w:asciiTheme="minorAscii" w:hAnsiTheme="minorAscii" w:cstheme="minorAscii"/>
                <w:sz w:val="22"/>
                <w:szCs w:val="22"/>
              </w:rPr>
              <w:t>3</w:t>
            </w:r>
            <w:r w:rsidRPr="16CDE274" w:rsidR="3936685A">
              <w:rPr>
                <w:rFonts w:ascii="Calibri" w:hAnsi="Calibri" w:cs="Calibri" w:asciiTheme="minorAscii" w:hAnsiTheme="minorAscii" w:cstheme="minorAscii"/>
                <w:sz w:val="22"/>
                <w:szCs w:val="22"/>
              </w:rPr>
              <w:t xml:space="preserve"> and July 202</w:t>
            </w:r>
            <w:r w:rsidRPr="16CDE274" w:rsidR="4B249CC0">
              <w:rPr>
                <w:rFonts w:ascii="Calibri" w:hAnsi="Calibri" w:cs="Calibri" w:asciiTheme="minorAscii" w:hAnsiTheme="minorAscii" w:cstheme="minorAscii"/>
                <w:sz w:val="22"/>
                <w:szCs w:val="22"/>
              </w:rPr>
              <w:t>6</w:t>
            </w:r>
            <w:r w:rsidRPr="16CDE274" w:rsidR="3936685A">
              <w:rPr>
                <w:rFonts w:ascii="Calibri" w:hAnsi="Calibri" w:cs="Calibri" w:asciiTheme="minorAscii" w:hAnsiTheme="minorAscii" w:cstheme="minorAscii"/>
                <w:sz w:val="22"/>
                <w:szCs w:val="22"/>
              </w:rPr>
              <w:t>, with specific adaptations made for this academic year, 202</w:t>
            </w:r>
            <w:r w:rsidRPr="16CDE274" w:rsidR="6130D754">
              <w:rPr>
                <w:rFonts w:ascii="Calibri" w:hAnsi="Calibri" w:cs="Calibri" w:asciiTheme="minorAscii" w:hAnsiTheme="minorAscii" w:cstheme="minorAscii"/>
                <w:sz w:val="22"/>
                <w:szCs w:val="22"/>
              </w:rPr>
              <w:t>5</w:t>
            </w:r>
            <w:r w:rsidRPr="16CDE274" w:rsidR="3936685A">
              <w:rPr>
                <w:rFonts w:ascii="Calibri" w:hAnsi="Calibri" w:cs="Calibri" w:asciiTheme="minorAscii" w:hAnsiTheme="minorAscii" w:cstheme="minorAscii"/>
                <w:sz w:val="22"/>
                <w:szCs w:val="22"/>
              </w:rPr>
              <w:t>-2</w:t>
            </w:r>
            <w:r w:rsidRPr="16CDE274" w:rsidR="348E5113">
              <w:rPr>
                <w:rFonts w:ascii="Calibri" w:hAnsi="Calibri" w:cs="Calibri" w:asciiTheme="minorAscii" w:hAnsiTheme="minorAscii" w:cstheme="minorAscii"/>
                <w:sz w:val="22"/>
                <w:szCs w:val="22"/>
              </w:rPr>
              <w:t>6</w:t>
            </w:r>
            <w:r w:rsidRPr="16CDE274" w:rsidR="3936685A">
              <w:rPr>
                <w:rFonts w:ascii="Calibri" w:hAnsi="Calibri" w:cs="Calibri" w:asciiTheme="minorAscii" w:hAnsiTheme="minorAscii" w:cstheme="minorAscii"/>
                <w:sz w:val="22"/>
                <w:szCs w:val="22"/>
              </w:rPr>
              <w:t>. Our determined and committed leadership team strives to ensure that Pupil Premium funding and provision</w:t>
            </w:r>
            <w:r w:rsidRPr="16CDE274" w:rsidR="001852E0">
              <w:rPr>
                <w:rFonts w:ascii="Calibri" w:hAnsi="Calibri" w:cs="Calibri" w:asciiTheme="minorAscii" w:hAnsiTheme="minorAscii" w:cstheme="minorAscii"/>
                <w:sz w:val="22"/>
                <w:szCs w:val="22"/>
              </w:rPr>
              <w:t xml:space="preserve"> positively</w:t>
            </w:r>
            <w:r w:rsidRPr="16CDE274" w:rsidR="3936685A">
              <w:rPr>
                <w:rFonts w:ascii="Calibri" w:hAnsi="Calibri" w:cs="Calibri" w:asciiTheme="minorAscii" w:hAnsiTheme="minorAscii" w:cstheme="minorAscii"/>
                <w:sz w:val="22"/>
                <w:szCs w:val="22"/>
              </w:rPr>
              <w:t xml:space="preserve"> </w:t>
            </w:r>
            <w:r w:rsidRPr="16CDE274" w:rsidR="3936685A">
              <w:rPr>
                <w:rFonts w:ascii="Calibri" w:hAnsi="Calibri" w:cs="Calibri" w:asciiTheme="minorAscii" w:hAnsiTheme="minorAscii" w:cstheme="minorAscii"/>
                <w:sz w:val="22"/>
                <w:szCs w:val="22"/>
              </w:rPr>
              <w:t>impacts</w:t>
            </w:r>
            <w:r w:rsidRPr="16CDE274" w:rsidR="3936685A">
              <w:rPr>
                <w:rFonts w:ascii="Calibri" w:hAnsi="Calibri" w:cs="Calibri" w:asciiTheme="minorAscii" w:hAnsiTheme="minorAscii" w:cstheme="minorAscii"/>
                <w:sz w:val="22"/>
                <w:szCs w:val="22"/>
              </w:rPr>
              <w:t xml:space="preserve"> achievement, </w:t>
            </w:r>
            <w:r w:rsidRPr="16CDE274" w:rsidR="3936685A">
              <w:rPr>
                <w:rFonts w:ascii="Calibri" w:hAnsi="Calibri" w:cs="Calibri" w:asciiTheme="minorAscii" w:hAnsiTheme="minorAscii" w:cstheme="minorAscii"/>
                <w:sz w:val="22"/>
                <w:szCs w:val="22"/>
              </w:rPr>
              <w:t>attendance</w:t>
            </w:r>
            <w:r w:rsidRPr="16CDE274" w:rsidR="3936685A">
              <w:rPr>
                <w:rFonts w:ascii="Calibri" w:hAnsi="Calibri" w:cs="Calibri" w:asciiTheme="minorAscii" w:hAnsiTheme="minorAscii" w:cstheme="minorAscii"/>
                <w:sz w:val="22"/>
                <w:szCs w:val="22"/>
              </w:rPr>
              <w:t xml:space="preserve"> and pastoral care. Termly data analysis and pupil progress meetings ensure </w:t>
            </w:r>
            <w:r w:rsidRPr="16CDE274" w:rsidR="4E3D2416">
              <w:rPr>
                <w:rFonts w:ascii="Calibri" w:hAnsi="Calibri" w:cs="Calibri" w:asciiTheme="minorAscii" w:hAnsiTheme="minorAscii" w:cstheme="minorAscii"/>
                <w:sz w:val="22"/>
                <w:szCs w:val="22"/>
              </w:rPr>
              <w:t xml:space="preserve">that those entitled to pupil premium funding </w:t>
            </w:r>
            <w:r w:rsidRPr="16CDE274" w:rsidR="3936685A">
              <w:rPr>
                <w:rFonts w:ascii="Calibri" w:hAnsi="Calibri" w:cs="Calibri" w:asciiTheme="minorAscii" w:hAnsiTheme="minorAscii" w:cstheme="minorAscii"/>
                <w:sz w:val="22"/>
                <w:szCs w:val="22"/>
              </w:rPr>
              <w:t xml:space="preserve">are </w:t>
            </w:r>
            <w:r w:rsidRPr="16CDE274" w:rsidR="3936685A">
              <w:rPr>
                <w:rFonts w:ascii="Calibri" w:hAnsi="Calibri" w:cs="Calibri" w:asciiTheme="minorAscii" w:hAnsiTheme="minorAscii" w:cstheme="minorAscii"/>
                <w:sz w:val="22"/>
                <w:szCs w:val="22"/>
              </w:rPr>
              <w:t>monitored</w:t>
            </w:r>
            <w:r w:rsidRPr="16CDE274" w:rsidR="3936685A">
              <w:rPr>
                <w:rFonts w:ascii="Calibri" w:hAnsi="Calibri" w:cs="Calibri" w:asciiTheme="minorAscii" w:hAnsiTheme="minorAscii" w:cstheme="minorAscii"/>
                <w:sz w:val="22"/>
                <w:szCs w:val="22"/>
              </w:rPr>
              <w:t xml:space="preserve"> and compared to other pupils in school to ensure the correct strategies and provision are in place. </w:t>
            </w:r>
          </w:p>
        </w:tc>
      </w:tr>
    </w:tbl>
    <w:p w:rsidRPr="00474F4E" w:rsidR="00E66558" w:rsidRDefault="009D71E8" w14:paraId="2A7D54EB" w14:textId="27002572">
      <w:pPr>
        <w:pStyle w:val="Heading2"/>
        <w:spacing w:before="600"/>
        <w:rPr>
          <w:color w:val="00B050"/>
        </w:rPr>
      </w:pPr>
      <w:r w:rsidRPr="00474F4E">
        <w:rPr>
          <w:color w:val="00B050"/>
        </w:rPr>
        <w:lastRenderedPageBreak/>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00474F4E" w14:paraId="2A7D54EF" w14:textId="77777777">
        <w:tc>
          <w:tcPr>
            <w:tcW w:w="1477"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14:paraId="2A7D54F2"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RDefault="009D71E8" w14:paraId="2A7D54F0" w14:textId="77777777">
            <w:pPr>
              <w:pStyle w:val="TableRow"/>
              <w:rPr>
                <w:rFonts w:ascii="Calibri" w:hAnsi="Calibri" w:cs="Calibri"/>
                <w:sz w:val="22"/>
                <w:szCs w:val="22"/>
              </w:rPr>
            </w:pPr>
            <w:r w:rsidRPr="00027148">
              <w:rPr>
                <w:rFonts w:ascii="Calibri" w:hAnsi="Calibri" w:cs="Calibri"/>
                <w:sz w:val="22"/>
                <w:szCs w:val="22"/>
              </w:rPr>
              <w:t>1</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P="00F26082" w:rsidRDefault="00C60C3F" w14:paraId="2A7D54F1" w14:textId="562B4371">
            <w:pPr>
              <w:pStyle w:val="TableRowCentered"/>
              <w:ind w:left="0"/>
              <w:jc w:val="left"/>
              <w:rPr>
                <w:rFonts w:ascii="Calibri" w:hAnsi="Calibri" w:cs="Calibri"/>
                <w:sz w:val="22"/>
                <w:szCs w:val="22"/>
              </w:rPr>
            </w:pPr>
            <w:r w:rsidRPr="00027148">
              <w:rPr>
                <w:rFonts w:ascii="Calibri" w:hAnsi="Calibri" w:cs="Calibri"/>
                <w:iCs/>
                <w:sz w:val="22"/>
                <w:szCs w:val="22"/>
              </w:rPr>
              <w:t>Low level starting points in EYFS particularly</w:t>
            </w:r>
            <w:r w:rsidRPr="00027148" w:rsidR="00F323B0">
              <w:rPr>
                <w:rFonts w:ascii="Calibri" w:hAnsi="Calibri" w:cs="Calibri"/>
                <w:iCs/>
                <w:sz w:val="22"/>
                <w:szCs w:val="22"/>
              </w:rPr>
              <w:t xml:space="preserve"> around</w:t>
            </w:r>
            <w:r w:rsidRPr="00027148">
              <w:rPr>
                <w:rFonts w:ascii="Calibri" w:hAnsi="Calibri" w:cs="Calibri"/>
                <w:iCs/>
                <w:sz w:val="22"/>
                <w:szCs w:val="22"/>
              </w:rPr>
              <w:t xml:space="preserve"> </w:t>
            </w:r>
            <w:r w:rsidR="00860B2D">
              <w:rPr>
                <w:rFonts w:ascii="Calibri" w:hAnsi="Calibri" w:cs="Calibri"/>
                <w:iCs/>
                <w:sz w:val="22"/>
                <w:szCs w:val="22"/>
              </w:rPr>
              <w:t>fine motor skills</w:t>
            </w:r>
            <w:r w:rsidR="00BE1F29">
              <w:rPr>
                <w:rFonts w:ascii="Calibri" w:hAnsi="Calibri" w:cs="Calibri"/>
                <w:iCs/>
                <w:sz w:val="22"/>
                <w:szCs w:val="22"/>
              </w:rPr>
              <w:t>/ oracy and word reading</w:t>
            </w:r>
          </w:p>
        </w:tc>
      </w:tr>
      <w:tr w:rsidR="00E66558" w14:paraId="2A7D54F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RDefault="009D71E8" w14:paraId="2A7D54F3" w14:textId="77777777">
            <w:pPr>
              <w:pStyle w:val="TableRow"/>
              <w:rPr>
                <w:rFonts w:ascii="Calibri" w:hAnsi="Calibri" w:cs="Calibri"/>
                <w:sz w:val="22"/>
                <w:szCs w:val="22"/>
              </w:rPr>
            </w:pPr>
            <w:r w:rsidRPr="00027148">
              <w:rPr>
                <w:rFonts w:ascii="Calibri" w:hAnsi="Calibri" w:cs="Calibri"/>
                <w:sz w:val="22"/>
                <w:szCs w:val="22"/>
              </w:rPr>
              <w:t>2</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P="00F26082" w:rsidRDefault="007F3A17" w14:paraId="2A7D54F4" w14:textId="16FDE4B6">
            <w:pPr>
              <w:pStyle w:val="TableRowCentered"/>
              <w:ind w:left="0"/>
              <w:jc w:val="left"/>
              <w:rPr>
                <w:rFonts w:ascii="Calibri" w:hAnsi="Calibri" w:cs="Calibri"/>
                <w:sz w:val="22"/>
                <w:szCs w:val="22"/>
              </w:rPr>
            </w:pPr>
            <w:r w:rsidRPr="00027148">
              <w:rPr>
                <w:rFonts w:ascii="Calibri" w:hAnsi="Calibri" w:cs="Calibri"/>
                <w:sz w:val="22"/>
                <w:szCs w:val="22"/>
              </w:rPr>
              <w:t>Lack of cultural capital experiences</w:t>
            </w:r>
          </w:p>
        </w:tc>
      </w:tr>
      <w:tr w:rsidR="00E66558" w14:paraId="2A7D54F8"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RDefault="009D71E8" w14:paraId="2A7D54F6" w14:textId="77777777">
            <w:pPr>
              <w:pStyle w:val="TableRow"/>
              <w:rPr>
                <w:rFonts w:ascii="Calibri" w:hAnsi="Calibri" w:cs="Calibri"/>
                <w:sz w:val="22"/>
                <w:szCs w:val="22"/>
              </w:rPr>
            </w:pPr>
            <w:r w:rsidRPr="00027148">
              <w:rPr>
                <w:rFonts w:ascii="Calibri" w:hAnsi="Calibri" w:cs="Calibri"/>
                <w:sz w:val="22"/>
                <w:szCs w:val="22"/>
              </w:rPr>
              <w:t>3</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P="00F26082" w:rsidRDefault="00F26082" w14:paraId="2A7D54F7" w14:textId="55ED52CF">
            <w:pPr>
              <w:pStyle w:val="TableRowCentered"/>
              <w:ind w:left="0"/>
              <w:jc w:val="left"/>
              <w:rPr>
                <w:rFonts w:ascii="Calibri" w:hAnsi="Calibri" w:cs="Calibri"/>
                <w:sz w:val="22"/>
                <w:szCs w:val="22"/>
              </w:rPr>
            </w:pPr>
            <w:r w:rsidRPr="00027148">
              <w:rPr>
                <w:rFonts w:ascii="Calibri" w:hAnsi="Calibri" w:cs="Calibri"/>
                <w:sz w:val="22"/>
                <w:szCs w:val="22"/>
              </w:rPr>
              <w:t>Lower inc</w:t>
            </w:r>
            <w:r w:rsidRPr="00027148" w:rsidR="007F3A17">
              <w:rPr>
                <w:rFonts w:ascii="Calibri" w:hAnsi="Calibri" w:cs="Calibri"/>
                <w:sz w:val="22"/>
                <w:szCs w:val="22"/>
              </w:rPr>
              <w:t>ome families can often find it more difficult to provide uniforms, PE kits, pay contributions to sc</w:t>
            </w:r>
            <w:r w:rsidRPr="00027148" w:rsidR="00764A17">
              <w:rPr>
                <w:rFonts w:ascii="Calibri" w:hAnsi="Calibri" w:cs="Calibri"/>
                <w:sz w:val="22"/>
                <w:szCs w:val="22"/>
              </w:rPr>
              <w:t>hool trips/ educational visits that enhance children’</w:t>
            </w:r>
            <w:r w:rsidRPr="00027148" w:rsidR="00FF5713">
              <w:rPr>
                <w:rFonts w:ascii="Calibri" w:hAnsi="Calibri" w:cs="Calibri"/>
                <w:sz w:val="22"/>
                <w:szCs w:val="22"/>
              </w:rPr>
              <w:t>s education</w:t>
            </w:r>
          </w:p>
        </w:tc>
      </w:tr>
      <w:tr w:rsidR="00E66558" w14:paraId="2A7D54FB"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RDefault="009D71E8" w14:paraId="2A7D54F9" w14:textId="77777777">
            <w:pPr>
              <w:pStyle w:val="TableRow"/>
              <w:rPr>
                <w:rFonts w:ascii="Calibri" w:hAnsi="Calibri" w:cs="Calibri"/>
                <w:sz w:val="22"/>
                <w:szCs w:val="22"/>
              </w:rPr>
            </w:pPr>
            <w:r w:rsidRPr="00027148">
              <w:rPr>
                <w:rFonts w:ascii="Calibri" w:hAnsi="Calibri" w:cs="Calibri"/>
                <w:sz w:val="22"/>
                <w:szCs w:val="22"/>
              </w:rPr>
              <w:t>4</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P="007B5F28" w:rsidRDefault="004C5878" w14:paraId="2A7D54FA" w14:textId="00DA9B48">
            <w:pPr>
              <w:pStyle w:val="TableRowCentered"/>
              <w:ind w:left="0"/>
              <w:jc w:val="left"/>
              <w:rPr>
                <w:rFonts w:ascii="Calibri" w:hAnsi="Calibri" w:cs="Calibri"/>
                <w:iCs/>
                <w:sz w:val="22"/>
                <w:szCs w:val="22"/>
              </w:rPr>
            </w:pPr>
            <w:r w:rsidRPr="00027148">
              <w:rPr>
                <w:rFonts w:ascii="Calibri" w:hAnsi="Calibri" w:cs="Calibri"/>
                <w:sz w:val="22"/>
                <w:szCs w:val="22"/>
              </w:rPr>
              <w:t>Increased numbers of pupils with complex needs, including speech and language, social communication, poor working memory, attention difficulties, motor skills, ASD &amp; soc</w:t>
            </w:r>
            <w:r w:rsidRPr="00027148" w:rsidR="00FF5713">
              <w:rPr>
                <w:rFonts w:ascii="Calibri" w:hAnsi="Calibri" w:cs="Calibri"/>
                <w:sz w:val="22"/>
                <w:szCs w:val="22"/>
              </w:rPr>
              <w:t>ial emotional and mental health</w:t>
            </w:r>
          </w:p>
        </w:tc>
      </w:tr>
      <w:tr w:rsidR="00E66558" w14:paraId="2A7D54FE"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RDefault="009D71E8" w14:paraId="2A7D54FC" w14:textId="77777777">
            <w:pPr>
              <w:pStyle w:val="TableRow"/>
              <w:rPr>
                <w:rFonts w:ascii="Calibri" w:hAnsi="Calibri" w:cs="Calibri"/>
                <w:sz w:val="22"/>
                <w:szCs w:val="22"/>
              </w:rPr>
            </w:pPr>
            <w:bookmarkStart w:name="_Toc443397160" w:id="16"/>
            <w:r w:rsidRPr="00027148">
              <w:rPr>
                <w:rFonts w:ascii="Calibri" w:hAnsi="Calibri" w:cs="Calibri"/>
                <w:sz w:val="22"/>
                <w:szCs w:val="22"/>
              </w:rPr>
              <w:t>5</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E66558" w:rsidP="00F26082" w:rsidRDefault="001C7623" w14:paraId="2A7D54FD" w14:textId="72EEC202">
            <w:pPr>
              <w:pStyle w:val="TableRowCentered"/>
              <w:ind w:left="0"/>
              <w:jc w:val="left"/>
              <w:rPr>
                <w:rFonts w:ascii="Calibri" w:hAnsi="Calibri" w:cs="Calibri"/>
                <w:iCs/>
                <w:sz w:val="22"/>
                <w:szCs w:val="22"/>
              </w:rPr>
            </w:pPr>
            <w:r w:rsidRPr="00027148">
              <w:rPr>
                <w:rFonts w:ascii="Calibri" w:hAnsi="Calibri" w:cs="Calibri"/>
                <w:sz w:val="22"/>
                <w:szCs w:val="22"/>
              </w:rPr>
              <w:t>Low a</w:t>
            </w:r>
            <w:r w:rsidRPr="00027148" w:rsidR="004C5878">
              <w:rPr>
                <w:rFonts w:ascii="Calibri" w:hAnsi="Calibri" w:cs="Calibri"/>
                <w:sz w:val="22"/>
                <w:szCs w:val="22"/>
              </w:rPr>
              <w:t>ttendance and</w:t>
            </w:r>
            <w:r w:rsidRPr="00027148" w:rsidR="00F26082">
              <w:rPr>
                <w:rFonts w:ascii="Calibri" w:hAnsi="Calibri" w:cs="Calibri"/>
                <w:sz w:val="22"/>
                <w:szCs w:val="22"/>
              </w:rPr>
              <w:t xml:space="preserve"> </w:t>
            </w:r>
            <w:r w:rsidRPr="00027148">
              <w:rPr>
                <w:rFonts w:ascii="Calibri" w:hAnsi="Calibri" w:cs="Calibri"/>
                <w:sz w:val="22"/>
                <w:szCs w:val="22"/>
              </w:rPr>
              <w:t xml:space="preserve">high </w:t>
            </w:r>
            <w:r w:rsidRPr="00027148" w:rsidR="00F26082">
              <w:rPr>
                <w:rFonts w:ascii="Calibri" w:hAnsi="Calibri" w:cs="Calibri"/>
                <w:sz w:val="22"/>
                <w:szCs w:val="22"/>
              </w:rPr>
              <w:t>number of Persistent Absentees</w:t>
            </w:r>
          </w:p>
        </w:tc>
      </w:tr>
      <w:tr w:rsidR="004C5878" w14:paraId="4C705A6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4C5878" w:rsidRDefault="004C5878" w14:paraId="08C65686" w14:textId="18683BEE">
            <w:pPr>
              <w:pStyle w:val="TableRow"/>
              <w:rPr>
                <w:rFonts w:ascii="Calibri" w:hAnsi="Calibri" w:cs="Calibri"/>
                <w:sz w:val="22"/>
                <w:szCs w:val="22"/>
              </w:rPr>
            </w:pPr>
            <w:r w:rsidRPr="00027148">
              <w:rPr>
                <w:rFonts w:ascii="Calibri" w:hAnsi="Calibri" w:cs="Calibri"/>
                <w:sz w:val="22"/>
                <w:szCs w:val="22"/>
              </w:rPr>
              <w:t>6</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27148" w:rsidR="004C5878" w:rsidP="00F26082" w:rsidRDefault="00764A17" w14:paraId="3BF1F5D2" w14:textId="10FDC6F2">
            <w:pPr>
              <w:pStyle w:val="TableRowCentered"/>
              <w:ind w:left="0"/>
              <w:jc w:val="left"/>
              <w:rPr>
                <w:rFonts w:ascii="Calibri" w:hAnsi="Calibri" w:cs="Calibri"/>
                <w:sz w:val="22"/>
                <w:szCs w:val="22"/>
              </w:rPr>
            </w:pPr>
            <w:r w:rsidRPr="00027148">
              <w:rPr>
                <w:rFonts w:ascii="Calibri" w:hAnsi="Calibri" w:cs="Calibri"/>
                <w:sz w:val="22"/>
                <w:szCs w:val="22"/>
              </w:rPr>
              <w:t>Lower levels of p</w:t>
            </w:r>
            <w:r w:rsidRPr="00027148" w:rsidR="004C5878">
              <w:rPr>
                <w:rFonts w:ascii="Calibri" w:hAnsi="Calibri" w:cs="Calibri"/>
                <w:sz w:val="22"/>
                <w:szCs w:val="22"/>
              </w:rPr>
              <w:t>arental partnership (parental engagement, support for home learning</w:t>
            </w:r>
            <w:r w:rsidRPr="00027148">
              <w:rPr>
                <w:rFonts w:ascii="Calibri" w:hAnsi="Calibri" w:cs="Calibri"/>
                <w:sz w:val="22"/>
                <w:szCs w:val="22"/>
              </w:rPr>
              <w:t>, regard for education</w:t>
            </w:r>
            <w:r w:rsidRPr="00027148" w:rsidR="004C5878">
              <w:rPr>
                <w:rFonts w:ascii="Calibri" w:hAnsi="Calibri" w:cs="Calibri"/>
                <w:sz w:val="22"/>
                <w:szCs w:val="22"/>
              </w:rPr>
              <w:t>)</w:t>
            </w:r>
          </w:p>
        </w:tc>
      </w:tr>
    </w:tbl>
    <w:p w:rsidRPr="00474F4E" w:rsidR="00E66558" w:rsidRDefault="009D71E8" w14:paraId="2A7D54FF" w14:textId="77777777">
      <w:pPr>
        <w:pStyle w:val="Heading2"/>
        <w:spacing w:before="600"/>
        <w:rPr>
          <w:color w:val="00B050"/>
        </w:rPr>
      </w:pPr>
      <w:r w:rsidRPr="00474F4E">
        <w:rPr>
          <w:color w:val="00B050"/>
        </w:rP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16CDE274"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02" w14:textId="77777777">
            <w:pPr>
              <w:pStyle w:val="TableHeader"/>
              <w:jc w:val="left"/>
            </w:pPr>
            <w:r>
              <w:t>Success criteria</w:t>
            </w:r>
          </w:p>
        </w:tc>
      </w:tr>
      <w:tr w:rsidR="00086D4C" w:rsidTr="16CDE274"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F26082" w:rsidP="001C7623" w:rsidRDefault="00086D4C" w14:paraId="65F815FC" w14:textId="645E7A8B">
            <w:pPr>
              <w:pStyle w:val="TableRow"/>
              <w:rPr>
                <w:rFonts w:asciiTheme="minorHAnsi" w:hAnsiTheme="minorHAnsi" w:cstheme="minorHAnsi"/>
                <w:sz w:val="22"/>
                <w:szCs w:val="22"/>
              </w:rPr>
            </w:pPr>
            <w:r w:rsidRPr="00027148">
              <w:rPr>
                <w:rFonts w:asciiTheme="minorHAnsi" w:hAnsiTheme="minorHAnsi" w:cstheme="minorHAnsi"/>
                <w:sz w:val="22"/>
                <w:szCs w:val="22"/>
              </w:rPr>
              <w:t xml:space="preserve">Pupils with low attendance/ </w:t>
            </w:r>
            <w:r w:rsidRPr="00027148" w:rsidR="00CA7695">
              <w:rPr>
                <w:rFonts w:asciiTheme="minorHAnsi" w:hAnsiTheme="minorHAnsi" w:cstheme="minorHAnsi"/>
                <w:sz w:val="22"/>
                <w:szCs w:val="22"/>
              </w:rPr>
              <w:t>punctuality issues</w:t>
            </w:r>
            <w:r w:rsidRPr="00027148" w:rsidR="00F26082">
              <w:rPr>
                <w:rFonts w:asciiTheme="minorHAnsi" w:hAnsiTheme="minorHAnsi" w:cstheme="minorHAnsi"/>
                <w:sz w:val="22"/>
                <w:szCs w:val="22"/>
              </w:rPr>
              <w:t xml:space="preserve"> are supported and challenged, children entitled to Pupil Premium funding will have attendance in line</w:t>
            </w:r>
            <w:r w:rsidRPr="00027148" w:rsidR="00E4068E">
              <w:rPr>
                <w:rFonts w:asciiTheme="minorHAnsi" w:hAnsiTheme="minorHAnsi" w:cstheme="minorHAnsi"/>
                <w:sz w:val="22"/>
                <w:szCs w:val="22"/>
              </w:rPr>
              <w:t xml:space="preserve"> with national average or above (target of 95% minimum)</w:t>
            </w:r>
          </w:p>
          <w:p w:rsidRPr="00027148" w:rsidR="00C05B41" w:rsidP="58B3727D" w:rsidRDefault="06517B97" w14:paraId="598C5EED" w14:textId="3321CC13">
            <w:pPr>
              <w:pStyle w:val="TableRow"/>
              <w:rPr>
                <w:rFonts w:asciiTheme="minorHAnsi" w:hAnsiTheme="minorHAnsi" w:cstheme="minorBidi"/>
                <w:sz w:val="22"/>
                <w:szCs w:val="22"/>
              </w:rPr>
            </w:pPr>
            <w:r w:rsidRPr="58B3727D">
              <w:rPr>
                <w:rFonts w:asciiTheme="minorHAnsi" w:hAnsiTheme="minorHAnsi" w:cstheme="minorBidi"/>
                <w:sz w:val="22"/>
                <w:szCs w:val="22"/>
              </w:rPr>
              <w:t xml:space="preserve">Gap between PP and </w:t>
            </w:r>
            <w:r w:rsidRPr="58B3727D" w:rsidR="230E7AF4">
              <w:rPr>
                <w:rFonts w:asciiTheme="minorHAnsi" w:hAnsiTheme="minorHAnsi" w:cstheme="minorBidi"/>
                <w:sz w:val="22"/>
                <w:szCs w:val="22"/>
              </w:rPr>
              <w:t>non-PP</w:t>
            </w:r>
            <w:r w:rsidRPr="58B3727D">
              <w:rPr>
                <w:rFonts w:asciiTheme="minorHAnsi" w:hAnsiTheme="minorHAnsi" w:cstheme="minorBidi"/>
                <w:sz w:val="22"/>
                <w:szCs w:val="22"/>
              </w:rPr>
              <w:t xml:space="preserve"> children will diminish. Currently </w:t>
            </w:r>
            <w:r w:rsidRPr="58B3727D" w:rsidR="14478D2B">
              <w:rPr>
                <w:rFonts w:asciiTheme="minorHAnsi" w:hAnsiTheme="minorHAnsi" w:cstheme="minorBidi"/>
                <w:b/>
                <w:bCs/>
                <w:color w:val="auto"/>
                <w:sz w:val="22"/>
                <w:szCs w:val="22"/>
              </w:rPr>
              <w:t xml:space="preserve">92.04% PP and 96.14% </w:t>
            </w:r>
            <w:r w:rsidRPr="58B3727D" w:rsidR="3E4DDC2B">
              <w:rPr>
                <w:rFonts w:asciiTheme="minorHAnsi" w:hAnsiTheme="minorHAnsi" w:cstheme="minorBidi"/>
                <w:b/>
                <w:bCs/>
                <w:color w:val="auto"/>
                <w:sz w:val="22"/>
                <w:szCs w:val="22"/>
              </w:rPr>
              <w:t>Non-PP.</w:t>
            </w:r>
            <w:r w:rsidRPr="58B3727D" w:rsidR="14478D2B">
              <w:rPr>
                <w:rFonts w:asciiTheme="minorHAnsi" w:hAnsiTheme="minorHAnsi" w:cstheme="minorBidi"/>
                <w:b/>
                <w:bCs/>
                <w:color w:val="auto"/>
                <w:sz w:val="22"/>
                <w:szCs w:val="22"/>
              </w:rPr>
              <w:t xml:space="preserve"> </w:t>
            </w:r>
          </w:p>
          <w:p w:rsidRPr="00027148" w:rsidR="00F26082" w:rsidP="001C7623" w:rsidRDefault="00F26082" w14:paraId="6F339FEC" w14:textId="77777777">
            <w:pPr>
              <w:pStyle w:val="TableRow"/>
              <w:rPr>
                <w:rFonts w:asciiTheme="minorHAnsi" w:hAnsiTheme="minorHAnsi" w:cstheme="minorHAnsi"/>
                <w:sz w:val="22"/>
                <w:szCs w:val="22"/>
              </w:rPr>
            </w:pPr>
          </w:p>
          <w:p w:rsidRPr="00027148" w:rsidR="00F26082" w:rsidP="001C7623" w:rsidRDefault="00F26082" w14:paraId="2A7D5504" w14:textId="390358B2">
            <w:pPr>
              <w:pStyle w:val="TableRow"/>
              <w:ind w:left="0"/>
              <w:rPr>
                <w:rFonts w:asciiTheme="minorHAnsi" w:hAnsiTheme="minorHAnsi" w:cstheme="minorHAnsi"/>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BA3860" w:rsidP="00C05B41" w:rsidRDefault="002B290E" w14:paraId="53D23F93" w14:textId="1EFCCD50">
            <w:pPr>
              <w:pStyle w:val="TableRowCentered"/>
              <w:numPr>
                <w:ilvl w:val="0"/>
                <w:numId w:val="22"/>
              </w:numPr>
              <w:jc w:val="left"/>
              <w:rPr>
                <w:rFonts w:asciiTheme="minorHAnsi" w:hAnsiTheme="minorHAnsi" w:cstheme="minorHAnsi"/>
                <w:sz w:val="22"/>
                <w:szCs w:val="22"/>
              </w:rPr>
            </w:pPr>
            <w:r w:rsidRPr="00027148">
              <w:rPr>
                <w:rFonts w:asciiTheme="minorHAnsi" w:hAnsiTheme="minorHAnsi" w:cstheme="minorHAnsi"/>
                <w:sz w:val="22"/>
                <w:szCs w:val="22"/>
              </w:rPr>
              <w:t>Attendance officer appointed</w:t>
            </w:r>
          </w:p>
          <w:p w:rsidRPr="00027148" w:rsidR="002B290E" w:rsidP="00C05B41" w:rsidRDefault="002B290E" w14:paraId="635D26C4" w14:textId="6B1CC2D9">
            <w:pPr>
              <w:pStyle w:val="TableRowCentered"/>
              <w:numPr>
                <w:ilvl w:val="0"/>
                <w:numId w:val="22"/>
              </w:numPr>
              <w:jc w:val="left"/>
              <w:rPr>
                <w:rFonts w:asciiTheme="minorHAnsi" w:hAnsiTheme="minorHAnsi" w:cstheme="minorHAnsi"/>
                <w:sz w:val="22"/>
                <w:szCs w:val="22"/>
              </w:rPr>
            </w:pPr>
            <w:r w:rsidRPr="00027148">
              <w:rPr>
                <w:rFonts w:asciiTheme="minorHAnsi" w:hAnsiTheme="minorHAnsi" w:cstheme="minorHAnsi"/>
                <w:sz w:val="22"/>
                <w:szCs w:val="22"/>
              </w:rPr>
              <w:t>EWO to support families</w:t>
            </w:r>
          </w:p>
          <w:p w:rsidRPr="00027148" w:rsidR="002B290E" w:rsidP="00C05B41" w:rsidRDefault="002B290E" w14:paraId="496BEFC0" w14:textId="7F5C39D5">
            <w:pPr>
              <w:pStyle w:val="TableRowCentered"/>
              <w:numPr>
                <w:ilvl w:val="0"/>
                <w:numId w:val="22"/>
              </w:numPr>
              <w:jc w:val="left"/>
              <w:rPr>
                <w:rFonts w:asciiTheme="minorHAnsi" w:hAnsiTheme="minorHAnsi" w:cstheme="minorHAnsi"/>
                <w:sz w:val="22"/>
                <w:szCs w:val="22"/>
              </w:rPr>
            </w:pPr>
            <w:r w:rsidRPr="00027148">
              <w:rPr>
                <w:rFonts w:asciiTheme="minorHAnsi" w:hAnsiTheme="minorHAnsi" w:cstheme="minorHAnsi"/>
                <w:sz w:val="22"/>
                <w:szCs w:val="22"/>
              </w:rPr>
              <w:t>Regular Attendance Team meetings to look at specific groups and offer solutions to tackle poor attendance</w:t>
            </w:r>
          </w:p>
          <w:p w:rsidRPr="00027148" w:rsidR="00086D4C" w:rsidP="00C05B41" w:rsidRDefault="00086D4C" w14:paraId="23B7F847" w14:textId="40854659">
            <w:pPr>
              <w:pStyle w:val="TableRowCentered"/>
              <w:numPr>
                <w:ilvl w:val="0"/>
                <w:numId w:val="22"/>
              </w:numPr>
              <w:jc w:val="left"/>
              <w:rPr>
                <w:rFonts w:asciiTheme="minorHAnsi" w:hAnsiTheme="minorHAnsi" w:cstheme="minorHAnsi"/>
                <w:sz w:val="22"/>
                <w:szCs w:val="22"/>
              </w:rPr>
            </w:pPr>
            <w:r w:rsidRPr="00027148">
              <w:rPr>
                <w:rFonts w:asciiTheme="minorHAnsi" w:hAnsiTheme="minorHAnsi" w:cstheme="minorHAnsi"/>
                <w:sz w:val="22"/>
                <w:szCs w:val="22"/>
              </w:rPr>
              <w:t xml:space="preserve">The gap between the attendance of PP and non-PP </w:t>
            </w:r>
            <w:r w:rsidRPr="00027148" w:rsidR="00CA7695">
              <w:rPr>
                <w:rFonts w:asciiTheme="minorHAnsi" w:hAnsiTheme="minorHAnsi" w:cstheme="minorHAnsi"/>
                <w:sz w:val="22"/>
                <w:szCs w:val="22"/>
              </w:rPr>
              <w:t>will diminish</w:t>
            </w:r>
            <w:r w:rsidRPr="00027148">
              <w:rPr>
                <w:rFonts w:asciiTheme="minorHAnsi" w:hAnsiTheme="minorHAnsi" w:cstheme="minorHAnsi"/>
                <w:sz w:val="22"/>
                <w:szCs w:val="22"/>
              </w:rPr>
              <w:t>.</w:t>
            </w:r>
          </w:p>
          <w:p w:rsidRPr="00027148" w:rsidR="00BA3860" w:rsidP="00C05B41" w:rsidRDefault="00CA7695" w14:paraId="2A7D5505" w14:textId="7E95C988">
            <w:pPr>
              <w:pStyle w:val="TableRowCentered"/>
              <w:numPr>
                <w:ilvl w:val="0"/>
                <w:numId w:val="22"/>
              </w:numPr>
              <w:jc w:val="left"/>
              <w:rPr>
                <w:rFonts w:asciiTheme="minorHAnsi" w:hAnsiTheme="minorHAnsi" w:cstheme="minorHAnsi"/>
                <w:sz w:val="22"/>
                <w:szCs w:val="22"/>
              </w:rPr>
            </w:pPr>
            <w:r w:rsidRPr="00027148">
              <w:rPr>
                <w:rFonts w:asciiTheme="minorHAnsi" w:hAnsiTheme="minorHAnsi" w:cstheme="minorHAnsi"/>
                <w:sz w:val="22"/>
                <w:szCs w:val="22"/>
              </w:rPr>
              <w:t>Good attendance will have a positive</w:t>
            </w:r>
            <w:r w:rsidRPr="00027148" w:rsidR="00BA3860">
              <w:rPr>
                <w:rFonts w:asciiTheme="minorHAnsi" w:hAnsiTheme="minorHAnsi" w:cstheme="minorHAnsi"/>
                <w:sz w:val="22"/>
                <w:szCs w:val="22"/>
              </w:rPr>
              <w:t xml:space="preserve"> impact on attainment</w:t>
            </w:r>
            <w:r w:rsidRPr="00027148" w:rsidR="00CA6583">
              <w:rPr>
                <w:rFonts w:asciiTheme="minorHAnsi" w:hAnsiTheme="minorHAnsi" w:cstheme="minorHAnsi"/>
                <w:sz w:val="22"/>
                <w:szCs w:val="22"/>
              </w:rPr>
              <w:t>.</w:t>
            </w:r>
          </w:p>
        </w:tc>
      </w:tr>
      <w:tr w:rsidR="00086D4C" w:rsidTr="16CDE274"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2007DD" w:rsidP="58B3727D" w:rsidRDefault="0A1B1714" w14:paraId="207D457F" w14:textId="49A05E82">
            <w:pPr>
              <w:pStyle w:val="TableRow"/>
              <w:rPr>
                <w:rFonts w:asciiTheme="minorHAnsi" w:hAnsiTheme="minorHAnsi" w:cstheme="minorBidi"/>
                <w:sz w:val="22"/>
                <w:szCs w:val="22"/>
              </w:rPr>
            </w:pPr>
            <w:r w:rsidRPr="58B3727D">
              <w:rPr>
                <w:rFonts w:asciiTheme="minorHAnsi" w:hAnsiTheme="minorHAnsi" w:cstheme="minorBidi"/>
                <w:sz w:val="22"/>
                <w:szCs w:val="22"/>
              </w:rPr>
              <w:t>Increase</w:t>
            </w:r>
            <w:r w:rsidRPr="58B3727D" w:rsidR="582A7AD9">
              <w:rPr>
                <w:rFonts w:asciiTheme="minorHAnsi" w:hAnsiTheme="minorHAnsi" w:cstheme="minorBidi"/>
                <w:sz w:val="22"/>
                <w:szCs w:val="22"/>
              </w:rPr>
              <w:t xml:space="preserve"> the percentage of children achieving a ‘Good Level of Development’ at the end EYFS. </w:t>
            </w:r>
            <w:r w:rsidRPr="58B3727D" w:rsidR="771C67B3">
              <w:rPr>
                <w:rFonts w:asciiTheme="minorHAnsi" w:hAnsiTheme="minorHAnsi" w:cstheme="minorBidi"/>
                <w:b/>
                <w:bCs/>
                <w:sz w:val="22"/>
                <w:szCs w:val="22"/>
              </w:rPr>
              <w:t>2022- 39% 2023- 65%</w:t>
            </w:r>
            <w:r w:rsidRPr="58B3727D" w:rsidR="1D134055">
              <w:rPr>
                <w:rFonts w:asciiTheme="minorHAnsi" w:hAnsiTheme="minorHAnsi" w:cstheme="minorBidi"/>
                <w:b/>
                <w:bCs/>
                <w:sz w:val="22"/>
                <w:szCs w:val="22"/>
              </w:rPr>
              <w:t xml:space="preserve"> 2024- 63%</w:t>
            </w:r>
          </w:p>
          <w:p w:rsidRPr="00027148" w:rsidR="00086D4C" w:rsidP="002007DD" w:rsidRDefault="00086D4C" w14:paraId="2A7D5507" w14:textId="6A15EA17">
            <w:pPr>
              <w:pStyle w:val="TableRow"/>
              <w:rPr>
                <w:rFonts w:asciiTheme="minorHAnsi" w:hAnsiTheme="minorHAnsi" w:cstheme="minorHAnsi"/>
                <w:sz w:val="22"/>
                <w:szCs w:val="22"/>
              </w:rPr>
            </w:pPr>
            <w:r w:rsidRPr="00027148">
              <w:rPr>
                <w:rFonts w:asciiTheme="minorHAnsi" w:hAnsiTheme="minorHAnsi" w:cstheme="minorHAnsi"/>
                <w:iCs/>
                <w:sz w:val="22"/>
                <w:szCs w:val="22"/>
              </w:rPr>
              <w:t>Lo</w:t>
            </w:r>
            <w:r w:rsidRPr="00027148" w:rsidR="002007DD">
              <w:rPr>
                <w:rFonts w:asciiTheme="minorHAnsi" w:hAnsiTheme="minorHAnsi" w:cstheme="minorHAnsi"/>
                <w:iCs/>
                <w:sz w:val="22"/>
                <w:szCs w:val="22"/>
              </w:rPr>
              <w:t xml:space="preserve">w level starting points, </w:t>
            </w:r>
            <w:r w:rsidRPr="00027148">
              <w:rPr>
                <w:rFonts w:asciiTheme="minorHAnsi" w:hAnsiTheme="minorHAnsi" w:cstheme="minorHAnsi"/>
                <w:iCs/>
                <w:sz w:val="22"/>
                <w:szCs w:val="22"/>
              </w:rPr>
              <w:t xml:space="preserve">particularly </w:t>
            </w:r>
            <w:r w:rsidRPr="00027148" w:rsidR="002007DD">
              <w:rPr>
                <w:rFonts w:asciiTheme="minorHAnsi" w:hAnsiTheme="minorHAnsi" w:cstheme="minorHAnsi"/>
                <w:iCs/>
                <w:sz w:val="22"/>
                <w:szCs w:val="22"/>
              </w:rPr>
              <w:t xml:space="preserve">in </w:t>
            </w:r>
            <w:r w:rsidRPr="00027148">
              <w:rPr>
                <w:rFonts w:asciiTheme="minorHAnsi" w:hAnsiTheme="minorHAnsi" w:cstheme="minorHAnsi"/>
                <w:iCs/>
                <w:sz w:val="22"/>
                <w:szCs w:val="22"/>
              </w:rPr>
              <w:t>CLLD</w:t>
            </w:r>
            <w:r w:rsidRPr="00027148" w:rsidR="00BA3860">
              <w:rPr>
                <w:rFonts w:asciiTheme="minorHAnsi" w:hAnsiTheme="minorHAnsi" w:cstheme="minorHAnsi"/>
                <w:iCs/>
                <w:sz w:val="22"/>
                <w:szCs w:val="22"/>
              </w:rPr>
              <w:t xml:space="preserve">, will be identified up on entry and children will be supported </w:t>
            </w:r>
            <w:r w:rsidRPr="00027148" w:rsidR="00AF76F6">
              <w:rPr>
                <w:rFonts w:asciiTheme="minorHAnsi" w:hAnsiTheme="minorHAnsi" w:cstheme="minorHAnsi"/>
                <w:iCs/>
                <w:sz w:val="22"/>
                <w:szCs w:val="22"/>
              </w:rPr>
              <w:t>to make</w:t>
            </w:r>
            <w:r w:rsidRPr="00027148" w:rsidR="00BA3860">
              <w:rPr>
                <w:rFonts w:asciiTheme="minorHAnsi" w:hAnsiTheme="minorHAnsi" w:cstheme="minorHAnsi"/>
                <w:iCs/>
                <w:sz w:val="22"/>
                <w:szCs w:val="22"/>
              </w:rPr>
              <w:t xml:space="preserve"> rapid progress</w:t>
            </w:r>
            <w:r w:rsidRPr="00027148" w:rsidR="002007DD">
              <w:rPr>
                <w:rFonts w:asciiTheme="minorHAnsi" w:hAnsiTheme="minorHAnsi" w:cstheme="minorHAnsi"/>
                <w:iCs/>
                <w:sz w:val="22"/>
                <w:szCs w:val="22"/>
              </w:rPr>
              <w:t xml:space="preserve"> and diminish the difference between disadvantaged and </w:t>
            </w:r>
            <w:proofErr w:type="spellStart"/>
            <w:r w:rsidRPr="00027148" w:rsidR="002007DD">
              <w:rPr>
                <w:rFonts w:asciiTheme="minorHAnsi" w:hAnsiTheme="minorHAnsi" w:cstheme="minorHAnsi"/>
                <w:iCs/>
                <w:sz w:val="22"/>
                <w:szCs w:val="22"/>
              </w:rPr>
              <w:t>non disadvantaged</w:t>
            </w:r>
            <w:proofErr w:type="spellEnd"/>
            <w:r w:rsidRPr="00027148" w:rsidR="002007DD">
              <w:rPr>
                <w:rFonts w:asciiTheme="minorHAnsi" w:hAnsiTheme="minorHAnsi" w:cstheme="minorHAnsi"/>
                <w:iCs/>
                <w:sz w:val="22"/>
                <w:szCs w:val="22"/>
              </w:rPr>
              <w:t xml:space="preserve">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00C05B41" w:rsidRDefault="00CA7695" w14:paraId="1E3C81E6" w14:textId="7CC905BB">
            <w:pPr>
              <w:pStyle w:val="TableRow"/>
              <w:numPr>
                <w:ilvl w:val="0"/>
                <w:numId w:val="21"/>
              </w:numPr>
              <w:rPr>
                <w:rFonts w:asciiTheme="minorHAnsi" w:hAnsiTheme="minorHAnsi" w:cstheme="minorHAnsi"/>
                <w:iCs/>
                <w:sz w:val="22"/>
                <w:szCs w:val="22"/>
              </w:rPr>
            </w:pPr>
            <w:r w:rsidRPr="00027148">
              <w:rPr>
                <w:rFonts w:asciiTheme="minorHAnsi" w:hAnsiTheme="minorHAnsi" w:cstheme="minorHAnsi"/>
                <w:iCs/>
                <w:sz w:val="22"/>
                <w:szCs w:val="22"/>
              </w:rPr>
              <w:t>C</w:t>
            </w:r>
            <w:r w:rsidRPr="00027148" w:rsidR="00AF76F6">
              <w:rPr>
                <w:rFonts w:asciiTheme="minorHAnsi" w:hAnsiTheme="minorHAnsi" w:cstheme="minorHAnsi"/>
                <w:iCs/>
                <w:sz w:val="22"/>
                <w:szCs w:val="22"/>
              </w:rPr>
              <w:t>hildren</w:t>
            </w:r>
            <w:r w:rsidRPr="00027148">
              <w:rPr>
                <w:rFonts w:asciiTheme="minorHAnsi" w:hAnsiTheme="minorHAnsi" w:cstheme="minorHAnsi"/>
                <w:iCs/>
                <w:sz w:val="22"/>
                <w:szCs w:val="22"/>
              </w:rPr>
              <w:t xml:space="preserve"> identified</w:t>
            </w:r>
            <w:r w:rsidRPr="00027148" w:rsidR="00853E89">
              <w:rPr>
                <w:rFonts w:asciiTheme="minorHAnsi" w:hAnsiTheme="minorHAnsi" w:cstheme="minorHAnsi"/>
                <w:iCs/>
                <w:sz w:val="22"/>
                <w:szCs w:val="22"/>
              </w:rPr>
              <w:t xml:space="preserve"> from Reception Baseline Assessments</w:t>
            </w:r>
          </w:p>
          <w:p w:rsidRPr="00027148" w:rsidR="00AF76F6" w:rsidP="58B3727D" w:rsidRDefault="295172BD" w14:paraId="687F0E98" w14:textId="23A55361">
            <w:pPr>
              <w:pStyle w:val="TableRow"/>
              <w:numPr>
                <w:ilvl w:val="0"/>
                <w:numId w:val="21"/>
              </w:numPr>
              <w:rPr>
                <w:rFonts w:asciiTheme="minorHAnsi" w:hAnsiTheme="minorHAnsi" w:cstheme="minorBidi"/>
                <w:sz w:val="22"/>
                <w:szCs w:val="22"/>
              </w:rPr>
            </w:pPr>
            <w:r w:rsidRPr="58B3727D">
              <w:rPr>
                <w:rFonts w:asciiTheme="minorHAnsi" w:hAnsiTheme="minorHAnsi" w:cstheme="minorBidi"/>
                <w:sz w:val="22"/>
                <w:szCs w:val="22"/>
              </w:rPr>
              <w:t>Trac</w:t>
            </w:r>
            <w:r w:rsidRPr="58B3727D" w:rsidR="4DD86BA1">
              <w:rPr>
                <w:rFonts w:asciiTheme="minorHAnsi" w:hAnsiTheme="minorHAnsi" w:cstheme="minorBidi"/>
                <w:sz w:val="22"/>
                <w:szCs w:val="22"/>
              </w:rPr>
              <w:t>k</w:t>
            </w:r>
            <w:r w:rsidRPr="58B3727D">
              <w:rPr>
                <w:rFonts w:asciiTheme="minorHAnsi" w:hAnsiTheme="minorHAnsi" w:cstheme="minorBidi"/>
                <w:sz w:val="22"/>
                <w:szCs w:val="22"/>
              </w:rPr>
              <w:t>ing in place</w:t>
            </w:r>
            <w:r w:rsidRPr="58B3727D" w:rsidR="771C67B3">
              <w:rPr>
                <w:rFonts w:asciiTheme="minorHAnsi" w:hAnsiTheme="minorHAnsi" w:cstheme="minorBidi"/>
                <w:sz w:val="22"/>
                <w:szCs w:val="22"/>
              </w:rPr>
              <w:t xml:space="preserve">, Phonics, </w:t>
            </w:r>
            <w:r w:rsidRPr="58B3727D" w:rsidR="2B6CE598">
              <w:rPr>
                <w:rFonts w:asciiTheme="minorHAnsi" w:hAnsiTheme="minorHAnsi" w:cstheme="minorBidi"/>
                <w:sz w:val="22"/>
                <w:szCs w:val="22"/>
              </w:rPr>
              <w:t>Physical</w:t>
            </w:r>
            <w:r w:rsidRPr="58B3727D" w:rsidR="771C67B3">
              <w:rPr>
                <w:rFonts w:asciiTheme="minorHAnsi" w:hAnsiTheme="minorHAnsi" w:cstheme="minorBidi"/>
                <w:sz w:val="22"/>
                <w:szCs w:val="22"/>
              </w:rPr>
              <w:t xml:space="preserve"> Assessments, Observations.</w:t>
            </w:r>
          </w:p>
          <w:p w:rsidRPr="00027148" w:rsidR="00AF76F6" w:rsidP="58B3727D" w:rsidRDefault="771C67B3" w14:paraId="2A7D5508" w14:textId="293D3AC0">
            <w:pPr>
              <w:pStyle w:val="TableRow"/>
              <w:numPr>
                <w:ilvl w:val="0"/>
                <w:numId w:val="21"/>
              </w:numPr>
              <w:rPr>
                <w:rFonts w:asciiTheme="minorHAnsi" w:hAnsiTheme="minorHAnsi" w:cstheme="minorBidi"/>
                <w:sz w:val="22"/>
                <w:szCs w:val="22"/>
              </w:rPr>
            </w:pPr>
            <w:r w:rsidRPr="58B3727D">
              <w:rPr>
                <w:rFonts w:asciiTheme="minorHAnsi" w:hAnsiTheme="minorHAnsi" w:cstheme="minorBidi"/>
                <w:sz w:val="22"/>
                <w:szCs w:val="22"/>
              </w:rPr>
              <w:t>Regular i</w:t>
            </w:r>
            <w:r w:rsidRPr="58B3727D" w:rsidR="295172BD">
              <w:rPr>
                <w:rFonts w:asciiTheme="minorHAnsi" w:hAnsiTheme="minorHAnsi" w:cstheme="minorBidi"/>
                <w:sz w:val="22"/>
                <w:szCs w:val="22"/>
              </w:rPr>
              <w:t>nterventions in pla</w:t>
            </w:r>
            <w:r w:rsidRPr="58B3727D" w:rsidR="49D1786D">
              <w:rPr>
                <w:rFonts w:asciiTheme="minorHAnsi" w:hAnsiTheme="minorHAnsi" w:cstheme="minorBidi"/>
                <w:sz w:val="22"/>
                <w:szCs w:val="22"/>
              </w:rPr>
              <w:t>c</w:t>
            </w:r>
            <w:r w:rsidRPr="58B3727D" w:rsidR="295172BD">
              <w:rPr>
                <w:rFonts w:asciiTheme="minorHAnsi" w:hAnsiTheme="minorHAnsi" w:cstheme="minorBidi"/>
                <w:sz w:val="22"/>
                <w:szCs w:val="22"/>
              </w:rPr>
              <w:t>e</w:t>
            </w:r>
            <w:r w:rsidRPr="58B3727D" w:rsidR="457D6D2A">
              <w:rPr>
                <w:rFonts w:asciiTheme="minorHAnsi" w:hAnsiTheme="minorHAnsi" w:cstheme="minorBidi"/>
                <w:sz w:val="22"/>
                <w:szCs w:val="22"/>
              </w:rPr>
              <w:t xml:space="preserve"> and having a positive impact upon </w:t>
            </w:r>
            <w:r w:rsidRPr="58B3727D" w:rsidR="556F5E97">
              <w:rPr>
                <w:rFonts w:asciiTheme="minorHAnsi" w:hAnsiTheme="minorHAnsi" w:cstheme="minorBidi"/>
                <w:sz w:val="22"/>
                <w:szCs w:val="22"/>
              </w:rPr>
              <w:t>children's</w:t>
            </w:r>
            <w:r w:rsidRPr="58B3727D" w:rsidR="457D6D2A">
              <w:rPr>
                <w:rFonts w:asciiTheme="minorHAnsi" w:hAnsiTheme="minorHAnsi" w:cstheme="minorBidi"/>
                <w:sz w:val="22"/>
                <w:szCs w:val="22"/>
              </w:rPr>
              <w:t xml:space="preserve"> </w:t>
            </w:r>
            <w:r w:rsidRPr="58B3727D" w:rsidR="1B910B6C">
              <w:rPr>
                <w:rFonts w:asciiTheme="minorHAnsi" w:hAnsiTheme="minorHAnsi" w:cstheme="minorBidi"/>
                <w:sz w:val="22"/>
                <w:szCs w:val="22"/>
              </w:rPr>
              <w:t>attainment</w:t>
            </w:r>
          </w:p>
        </w:tc>
      </w:tr>
      <w:tr w:rsidR="00D35CB5" w:rsidTr="16CDE274" w14:paraId="068132C8"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D35CB5" w:rsidP="002007DD" w:rsidRDefault="00D35CB5" w14:paraId="6E9D7671" w14:textId="170EDF92">
            <w:pPr>
              <w:pStyle w:val="TableRow"/>
              <w:rPr>
                <w:rFonts w:asciiTheme="minorHAnsi" w:hAnsiTheme="minorHAnsi" w:cstheme="minorHAnsi"/>
                <w:iCs/>
                <w:sz w:val="22"/>
                <w:szCs w:val="22"/>
              </w:rPr>
            </w:pPr>
            <w:r w:rsidRPr="00027148">
              <w:rPr>
                <w:rFonts w:asciiTheme="minorHAnsi" w:hAnsiTheme="minorHAnsi" w:cstheme="minorHAnsi"/>
                <w:iCs/>
                <w:sz w:val="22"/>
                <w:szCs w:val="22"/>
              </w:rPr>
              <w:lastRenderedPageBreak/>
              <w:t>Increase the percentage of disadvantaged pupils meeting the expected standard in reading, writing and mathematics across KS1.</w:t>
            </w:r>
            <w:r w:rsidR="00697B76">
              <w:rPr>
                <w:rFonts w:asciiTheme="minorHAnsi" w:hAnsiTheme="minorHAnsi" w:cstheme="minorHAnsi"/>
                <w:iCs/>
                <w:sz w:val="22"/>
                <w:szCs w:val="22"/>
              </w:rPr>
              <w:t xml:space="preserve"> (Internal data)</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853E89" w:rsidP="007936D8" w:rsidRDefault="00853E89" w14:paraId="6A0E7462" w14:textId="6A0ABDAF">
            <w:pPr>
              <w:pStyle w:val="TableRow"/>
              <w:numPr>
                <w:ilvl w:val="0"/>
                <w:numId w:val="23"/>
              </w:numPr>
              <w:rPr>
                <w:rFonts w:asciiTheme="minorHAnsi" w:hAnsiTheme="minorHAnsi" w:cstheme="minorHAnsi"/>
                <w:sz w:val="22"/>
                <w:szCs w:val="22"/>
              </w:rPr>
            </w:pPr>
            <w:r w:rsidRPr="00027148">
              <w:rPr>
                <w:rFonts w:asciiTheme="minorHAnsi" w:hAnsiTheme="minorHAnsi" w:cstheme="minorHAnsi"/>
                <w:sz w:val="22"/>
                <w:szCs w:val="22"/>
              </w:rPr>
              <w:t>D</w:t>
            </w:r>
            <w:r w:rsidRPr="00027148" w:rsidR="00F75E6C">
              <w:rPr>
                <w:rFonts w:asciiTheme="minorHAnsi" w:hAnsiTheme="minorHAnsi" w:cstheme="minorHAnsi"/>
                <w:sz w:val="22"/>
                <w:szCs w:val="22"/>
              </w:rPr>
              <w:t>isadvantaged pupils identified i</w:t>
            </w:r>
            <w:r w:rsidRPr="00027148">
              <w:rPr>
                <w:rFonts w:asciiTheme="minorHAnsi" w:hAnsiTheme="minorHAnsi" w:cstheme="minorHAnsi"/>
                <w:sz w:val="22"/>
                <w:szCs w:val="22"/>
              </w:rPr>
              <w:t xml:space="preserve">n </w:t>
            </w:r>
            <w:r w:rsidRPr="00027148" w:rsidR="00F75E6C">
              <w:rPr>
                <w:rFonts w:asciiTheme="minorHAnsi" w:hAnsiTheme="minorHAnsi" w:cstheme="minorHAnsi"/>
                <w:sz w:val="22"/>
                <w:szCs w:val="22"/>
              </w:rPr>
              <w:t>Pupil Progress meetings</w:t>
            </w:r>
            <w:r w:rsidRPr="00027148">
              <w:rPr>
                <w:rFonts w:asciiTheme="minorHAnsi" w:hAnsiTheme="minorHAnsi" w:cstheme="minorHAnsi"/>
                <w:sz w:val="22"/>
                <w:szCs w:val="22"/>
              </w:rPr>
              <w:t xml:space="preserve">. </w:t>
            </w:r>
          </w:p>
          <w:p w:rsidRPr="00027148" w:rsidR="00853E89" w:rsidP="007936D8" w:rsidRDefault="00853E89" w14:paraId="7F24E77B" w14:textId="78BA18B5">
            <w:pPr>
              <w:pStyle w:val="TableRow"/>
              <w:numPr>
                <w:ilvl w:val="0"/>
                <w:numId w:val="23"/>
              </w:numPr>
              <w:rPr>
                <w:rFonts w:asciiTheme="minorHAnsi" w:hAnsiTheme="minorHAnsi" w:cstheme="minorHAnsi"/>
                <w:sz w:val="22"/>
                <w:szCs w:val="22"/>
              </w:rPr>
            </w:pPr>
            <w:r w:rsidRPr="00027148">
              <w:rPr>
                <w:rFonts w:asciiTheme="minorHAnsi" w:hAnsiTheme="minorHAnsi" w:cstheme="minorHAnsi"/>
                <w:sz w:val="22"/>
                <w:szCs w:val="22"/>
              </w:rPr>
              <w:t xml:space="preserve">Weekly intervention sessions for KS1 pupils with 1:1 and small group tuition. </w:t>
            </w:r>
          </w:p>
          <w:p w:rsidRPr="00027148" w:rsidR="00853E89" w:rsidP="007936D8" w:rsidRDefault="00853E89" w14:paraId="5CA8140A" w14:textId="1652C54D">
            <w:pPr>
              <w:pStyle w:val="TableRow"/>
              <w:numPr>
                <w:ilvl w:val="0"/>
                <w:numId w:val="23"/>
              </w:numPr>
              <w:rPr>
                <w:rFonts w:asciiTheme="minorHAnsi" w:hAnsiTheme="minorHAnsi" w:cstheme="minorHAnsi"/>
                <w:sz w:val="22"/>
                <w:szCs w:val="22"/>
              </w:rPr>
            </w:pPr>
            <w:r w:rsidRPr="00027148">
              <w:rPr>
                <w:rFonts w:asciiTheme="minorHAnsi" w:hAnsiTheme="minorHAnsi" w:cstheme="minorHAnsi"/>
                <w:sz w:val="22"/>
                <w:szCs w:val="22"/>
              </w:rPr>
              <w:t xml:space="preserve">Teachers using gap analysis from internal assessments to inform future planning. </w:t>
            </w:r>
          </w:p>
          <w:p w:rsidRPr="00027148" w:rsidR="00D35CB5" w:rsidP="007936D8" w:rsidRDefault="00853E89" w14:paraId="29D5B4AE" w14:textId="44F15EA8">
            <w:pPr>
              <w:pStyle w:val="TableRow"/>
              <w:numPr>
                <w:ilvl w:val="0"/>
                <w:numId w:val="23"/>
              </w:numPr>
              <w:rPr>
                <w:rFonts w:asciiTheme="minorHAnsi" w:hAnsiTheme="minorHAnsi" w:cstheme="minorHAnsi"/>
                <w:iCs/>
                <w:sz w:val="22"/>
                <w:szCs w:val="22"/>
              </w:rPr>
            </w:pPr>
            <w:r w:rsidRPr="00027148">
              <w:rPr>
                <w:rFonts w:asciiTheme="minorHAnsi" w:hAnsiTheme="minorHAnsi" w:cstheme="minorHAnsi"/>
                <w:sz w:val="22"/>
                <w:szCs w:val="22"/>
              </w:rPr>
              <w:t>Disadvantaged combined attainment score to be over 50% (previously 38%).</w:t>
            </w:r>
          </w:p>
        </w:tc>
      </w:tr>
      <w:tr w:rsidR="00086D4C" w:rsidTr="16CDE274"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58B3727D" w:rsidRDefault="75FD49E6" w14:paraId="2A7D550A" w14:textId="1F8CF0C7">
            <w:pPr>
              <w:pStyle w:val="TableRow"/>
              <w:rPr>
                <w:rFonts w:asciiTheme="minorHAnsi" w:hAnsiTheme="minorHAnsi" w:cstheme="minorBidi"/>
                <w:sz w:val="22"/>
                <w:szCs w:val="22"/>
              </w:rPr>
            </w:pPr>
            <w:r w:rsidRPr="58B3727D">
              <w:rPr>
                <w:rFonts w:asciiTheme="minorHAnsi" w:hAnsiTheme="minorHAnsi" w:cstheme="minorBidi"/>
                <w:sz w:val="22"/>
                <w:szCs w:val="22"/>
              </w:rPr>
              <w:t xml:space="preserve">Available support for </w:t>
            </w:r>
            <w:r w:rsidRPr="58B3727D" w:rsidR="004F551F">
              <w:rPr>
                <w:rFonts w:asciiTheme="minorHAnsi" w:hAnsiTheme="minorHAnsi" w:cstheme="minorBidi"/>
                <w:sz w:val="22"/>
                <w:szCs w:val="22"/>
              </w:rPr>
              <w:t>families</w:t>
            </w:r>
            <w:r w:rsidRPr="58B3727D">
              <w:rPr>
                <w:rFonts w:asciiTheme="minorHAnsi" w:hAnsiTheme="minorHAnsi" w:cstheme="minorBidi"/>
                <w:sz w:val="22"/>
                <w:szCs w:val="22"/>
              </w:rPr>
              <w:t xml:space="preserve"> who need it. Children will have equal access to uniforms and trips, access to </w:t>
            </w:r>
            <w:r w:rsidRPr="58B3727D" w:rsidR="4752FA1E">
              <w:rPr>
                <w:rFonts w:asciiTheme="minorHAnsi" w:hAnsiTheme="minorHAnsi" w:cstheme="minorBidi"/>
                <w:sz w:val="22"/>
                <w:szCs w:val="22"/>
              </w:rPr>
              <w:t>extra-curricular</w:t>
            </w:r>
            <w:r w:rsidRPr="58B3727D">
              <w:rPr>
                <w:rFonts w:asciiTheme="minorHAnsi" w:hAnsiTheme="minorHAnsi" w:cstheme="minorBidi"/>
                <w:sz w:val="22"/>
                <w:szCs w:val="22"/>
              </w:rPr>
              <w:t xml:space="preserve"> activities will not be inhibiting c</w:t>
            </w:r>
            <w:r w:rsidRPr="58B3727D" w:rsidR="21DB4CCC">
              <w:rPr>
                <w:rFonts w:asciiTheme="minorHAnsi" w:hAnsiTheme="minorHAnsi" w:cstheme="minorBidi"/>
                <w:sz w:val="22"/>
                <w:szCs w:val="22"/>
              </w:rPr>
              <w:t>hildren from l</w:t>
            </w:r>
            <w:r w:rsidRPr="58B3727D" w:rsidR="49D1786D">
              <w:rPr>
                <w:rFonts w:asciiTheme="minorHAnsi" w:hAnsiTheme="minorHAnsi" w:cstheme="minorBidi"/>
                <w:sz w:val="22"/>
                <w:szCs w:val="22"/>
              </w:rPr>
              <w:t>ower inc</w:t>
            </w:r>
            <w:r w:rsidRPr="58B3727D" w:rsidR="183672A9">
              <w:rPr>
                <w:rFonts w:asciiTheme="minorHAnsi" w:hAnsiTheme="minorHAnsi" w:cstheme="minorBidi"/>
                <w:sz w:val="22"/>
                <w:szCs w:val="22"/>
              </w:rPr>
              <w:t>ome families</w:t>
            </w:r>
            <w:r w:rsidRPr="58B3727D" w:rsidR="21DB4CCC">
              <w:rPr>
                <w:rFonts w:asciiTheme="minorHAnsi" w:hAnsiTheme="minorHAnsi" w:cstheme="minorBidi"/>
                <w:sz w:val="22"/>
                <w:szCs w:val="22"/>
              </w:rPr>
              <w:t xml:space="preserve"> will</w:t>
            </w:r>
            <w:r w:rsidRPr="58B3727D" w:rsidR="183672A9">
              <w:rPr>
                <w:rFonts w:asciiTheme="minorHAnsi" w:hAnsiTheme="minorHAnsi" w:cstheme="minorBidi"/>
                <w:sz w:val="22"/>
                <w:szCs w:val="22"/>
              </w:rPr>
              <w:t xml:space="preserve"> </w:t>
            </w:r>
            <w:r w:rsidRPr="58B3727D" w:rsidR="21DB4CCC">
              <w:rPr>
                <w:rFonts w:asciiTheme="minorHAnsi" w:hAnsiTheme="minorHAnsi" w:cstheme="minorBidi"/>
                <w:sz w:val="22"/>
                <w:szCs w:val="22"/>
              </w:rPr>
              <w:t>have uniforms, PE kits and attend school trips/ educational visits.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000146C4" w:rsidRDefault="000146C4" w14:paraId="5F174189" w14:textId="77777777">
            <w:pPr>
              <w:pStyle w:val="TableRowCentered"/>
              <w:numPr>
                <w:ilvl w:val="0"/>
                <w:numId w:val="24"/>
              </w:numPr>
              <w:jc w:val="left"/>
              <w:rPr>
                <w:rFonts w:asciiTheme="minorHAnsi" w:hAnsiTheme="minorHAnsi" w:cstheme="minorHAnsi"/>
                <w:sz w:val="22"/>
                <w:szCs w:val="22"/>
              </w:rPr>
            </w:pPr>
            <w:r w:rsidRPr="00027148">
              <w:rPr>
                <w:rFonts w:asciiTheme="minorHAnsi" w:hAnsiTheme="minorHAnsi" w:cstheme="minorHAnsi"/>
                <w:sz w:val="22"/>
                <w:szCs w:val="22"/>
              </w:rPr>
              <w:t>Mentor support for families</w:t>
            </w:r>
          </w:p>
          <w:p w:rsidRPr="00027148" w:rsidR="000146C4" w:rsidP="000146C4" w:rsidRDefault="000146C4" w14:paraId="043D67AE" w14:textId="11B6644B">
            <w:pPr>
              <w:pStyle w:val="TableRowCentered"/>
              <w:numPr>
                <w:ilvl w:val="0"/>
                <w:numId w:val="24"/>
              </w:numPr>
              <w:jc w:val="left"/>
              <w:rPr>
                <w:rFonts w:asciiTheme="minorHAnsi" w:hAnsiTheme="minorHAnsi" w:cstheme="minorHAnsi"/>
                <w:sz w:val="22"/>
                <w:szCs w:val="22"/>
              </w:rPr>
            </w:pPr>
            <w:r w:rsidRPr="00027148">
              <w:rPr>
                <w:rFonts w:asciiTheme="minorHAnsi" w:hAnsiTheme="minorHAnsi" w:cstheme="minorHAnsi"/>
                <w:sz w:val="22"/>
                <w:szCs w:val="22"/>
              </w:rPr>
              <w:t xml:space="preserve">Access to wider agencies such as Cobalt and </w:t>
            </w:r>
            <w:proofErr w:type="spellStart"/>
            <w:r w:rsidRPr="00027148">
              <w:rPr>
                <w:rFonts w:asciiTheme="minorHAnsi" w:hAnsiTheme="minorHAnsi" w:cstheme="minorHAnsi"/>
                <w:sz w:val="22"/>
                <w:szCs w:val="22"/>
              </w:rPr>
              <w:t>Clubmoor</w:t>
            </w:r>
            <w:proofErr w:type="spellEnd"/>
            <w:r w:rsidRPr="00027148">
              <w:rPr>
                <w:rFonts w:asciiTheme="minorHAnsi" w:hAnsiTheme="minorHAnsi" w:cstheme="minorHAnsi"/>
                <w:sz w:val="22"/>
                <w:szCs w:val="22"/>
              </w:rPr>
              <w:t xml:space="preserve"> </w:t>
            </w:r>
            <w:r w:rsidRPr="00027148" w:rsidR="00F73414">
              <w:rPr>
                <w:rFonts w:asciiTheme="minorHAnsi" w:hAnsiTheme="minorHAnsi" w:cstheme="minorHAnsi"/>
                <w:sz w:val="22"/>
                <w:szCs w:val="22"/>
              </w:rPr>
              <w:t>via pastoral team</w:t>
            </w:r>
          </w:p>
          <w:p w:rsidRPr="00027148" w:rsidR="000146C4" w:rsidP="000146C4" w:rsidRDefault="000146C4" w14:paraId="5F180B3B" w14:textId="702FEE10">
            <w:pPr>
              <w:pStyle w:val="TableRowCentered"/>
              <w:numPr>
                <w:ilvl w:val="0"/>
                <w:numId w:val="24"/>
              </w:numPr>
              <w:jc w:val="left"/>
              <w:rPr>
                <w:rFonts w:asciiTheme="minorHAnsi" w:hAnsiTheme="minorHAnsi" w:cstheme="minorHAnsi"/>
                <w:sz w:val="22"/>
                <w:szCs w:val="22"/>
              </w:rPr>
            </w:pPr>
            <w:r w:rsidRPr="00027148">
              <w:rPr>
                <w:rFonts w:asciiTheme="minorHAnsi" w:hAnsiTheme="minorHAnsi" w:cstheme="minorHAnsi"/>
                <w:sz w:val="22"/>
                <w:szCs w:val="22"/>
              </w:rPr>
              <w:t>Attendance of</w:t>
            </w:r>
            <w:r w:rsidRPr="00027148" w:rsidR="00F73414">
              <w:rPr>
                <w:rFonts w:asciiTheme="minorHAnsi" w:hAnsiTheme="minorHAnsi" w:cstheme="minorHAnsi"/>
                <w:sz w:val="22"/>
                <w:szCs w:val="22"/>
              </w:rPr>
              <w:t>ficer to support families</w:t>
            </w:r>
          </w:p>
          <w:p w:rsidRPr="00027148" w:rsidR="000146C4" w:rsidP="000146C4" w:rsidRDefault="000146C4" w14:paraId="2A7D550B" w14:textId="0B31C18D">
            <w:pPr>
              <w:pStyle w:val="TableRowCentered"/>
              <w:numPr>
                <w:ilvl w:val="0"/>
                <w:numId w:val="24"/>
              </w:numPr>
              <w:jc w:val="left"/>
              <w:rPr>
                <w:rFonts w:asciiTheme="minorHAnsi" w:hAnsiTheme="minorHAnsi" w:cstheme="minorHAnsi"/>
                <w:sz w:val="22"/>
                <w:szCs w:val="22"/>
              </w:rPr>
            </w:pPr>
            <w:r w:rsidRPr="00027148">
              <w:rPr>
                <w:rFonts w:asciiTheme="minorHAnsi" w:hAnsiTheme="minorHAnsi" w:cstheme="minorHAnsi"/>
                <w:sz w:val="22"/>
                <w:szCs w:val="22"/>
              </w:rPr>
              <w:t>Links developed with local uniform stockists</w:t>
            </w:r>
          </w:p>
        </w:tc>
      </w:tr>
      <w:tr w:rsidR="00086D4C" w:rsidTr="16CDE274"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16CDE274" w:rsidRDefault="00697B76" w14:paraId="2A7D550D" w14:textId="57CF44A1">
            <w:pPr>
              <w:pStyle w:val="TableRow"/>
              <w:rPr>
                <w:rFonts w:ascii="Calibri" w:hAnsi="Calibri" w:cs="Calibri" w:asciiTheme="minorAscii" w:hAnsiTheme="minorAscii" w:cstheme="minorAscii"/>
                <w:sz w:val="22"/>
                <w:szCs w:val="22"/>
              </w:rPr>
            </w:pPr>
            <w:r w:rsidRPr="16CDE274" w:rsidR="00697B76">
              <w:rPr>
                <w:rFonts w:ascii="Calibri" w:hAnsi="Calibri" w:cs="Calibri" w:asciiTheme="minorAscii" w:hAnsiTheme="minorAscii" w:cstheme="minorAscii"/>
                <w:sz w:val="22"/>
                <w:szCs w:val="22"/>
              </w:rPr>
              <w:t>To continue to be at national or above for phonics screening check Y1 (80%</w:t>
            </w:r>
            <w:r w:rsidRPr="16CDE274" w:rsidR="00910175">
              <w:rPr>
                <w:rFonts w:ascii="Calibri" w:hAnsi="Calibri" w:cs="Calibri" w:asciiTheme="minorAscii" w:hAnsiTheme="minorAscii" w:cstheme="minorAscii"/>
                <w:sz w:val="22"/>
                <w:szCs w:val="22"/>
              </w:rPr>
              <w:t xml:space="preserve"> 202</w:t>
            </w:r>
            <w:r w:rsidRPr="16CDE274" w:rsidR="25A3702E">
              <w:rPr>
                <w:rFonts w:ascii="Calibri" w:hAnsi="Calibri" w:cs="Calibri" w:asciiTheme="minorAscii" w:hAnsiTheme="minorAscii" w:cstheme="minorAscii"/>
                <w:sz w:val="22"/>
                <w:szCs w:val="22"/>
              </w:rPr>
              <w:t>5</w:t>
            </w:r>
            <w:r w:rsidRPr="16CDE274" w:rsidR="00697B76">
              <w:rPr>
                <w:rFonts w:ascii="Calibri" w:hAnsi="Calibri" w:cs="Calibri" w:asciiTheme="minorAscii" w:hAnsiTheme="minorAscii" w:cstheme="minorAscii"/>
                <w:sz w:val="22"/>
                <w:szCs w:val="22"/>
              </w:rPr>
              <w:t>)</w:t>
            </w:r>
            <w:r w:rsidRPr="16CDE274" w:rsidR="00F75E6C">
              <w:rPr>
                <w:rFonts w:ascii="Calibri" w:hAnsi="Calibri" w:cs="Calibri" w:asciiTheme="minorAscii" w:hAnsiTheme="minorAscii" w:cstheme="minorAscii"/>
                <w:sz w:val="22"/>
                <w:szCs w:val="22"/>
              </w:rPr>
              <w:t xml:space="preserv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00F75E6C" w:rsidRDefault="00F75E6C" w14:paraId="449F66A8" w14:textId="77777777">
            <w:pPr>
              <w:pStyle w:val="TableRowCentered"/>
              <w:numPr>
                <w:ilvl w:val="0"/>
                <w:numId w:val="25"/>
              </w:numPr>
              <w:jc w:val="left"/>
              <w:rPr>
                <w:rFonts w:asciiTheme="minorHAnsi" w:hAnsiTheme="minorHAnsi" w:cstheme="minorHAnsi"/>
                <w:sz w:val="22"/>
                <w:szCs w:val="22"/>
              </w:rPr>
            </w:pPr>
            <w:r w:rsidRPr="00027148">
              <w:rPr>
                <w:rFonts w:asciiTheme="minorHAnsi" w:hAnsiTheme="minorHAnsi" w:cstheme="minorHAnsi"/>
                <w:sz w:val="22"/>
                <w:szCs w:val="22"/>
              </w:rPr>
              <w:t>Robust assessment</w:t>
            </w:r>
          </w:p>
          <w:p w:rsidRPr="00027148" w:rsidR="00F75E6C" w:rsidP="00F75E6C" w:rsidRDefault="00F75E6C" w14:paraId="686A02B7" w14:textId="77777777">
            <w:pPr>
              <w:pStyle w:val="TableRowCentered"/>
              <w:numPr>
                <w:ilvl w:val="0"/>
                <w:numId w:val="25"/>
              </w:numPr>
              <w:jc w:val="left"/>
              <w:rPr>
                <w:rFonts w:asciiTheme="minorHAnsi" w:hAnsiTheme="minorHAnsi" w:cstheme="minorHAnsi"/>
                <w:sz w:val="22"/>
                <w:szCs w:val="22"/>
              </w:rPr>
            </w:pPr>
            <w:r w:rsidRPr="00027148">
              <w:rPr>
                <w:rFonts w:asciiTheme="minorHAnsi" w:hAnsiTheme="minorHAnsi" w:cstheme="minorHAnsi"/>
                <w:sz w:val="22"/>
                <w:szCs w:val="22"/>
              </w:rPr>
              <w:t>Phonics training in house</w:t>
            </w:r>
          </w:p>
          <w:p w:rsidRPr="00027148" w:rsidR="00F75E6C" w:rsidP="00F75E6C" w:rsidRDefault="00F75E6C" w14:paraId="213664BD" w14:textId="77777777">
            <w:pPr>
              <w:pStyle w:val="TableRowCentered"/>
              <w:numPr>
                <w:ilvl w:val="0"/>
                <w:numId w:val="25"/>
              </w:numPr>
              <w:jc w:val="left"/>
              <w:rPr>
                <w:rFonts w:asciiTheme="minorHAnsi" w:hAnsiTheme="minorHAnsi" w:cstheme="minorHAnsi"/>
                <w:sz w:val="22"/>
                <w:szCs w:val="22"/>
              </w:rPr>
            </w:pPr>
            <w:r w:rsidRPr="00027148">
              <w:rPr>
                <w:rFonts w:asciiTheme="minorHAnsi" w:hAnsiTheme="minorHAnsi" w:cstheme="minorHAnsi"/>
                <w:sz w:val="22"/>
                <w:szCs w:val="22"/>
              </w:rPr>
              <w:t>Interventions daily for children not ‘keeping up’</w:t>
            </w:r>
          </w:p>
          <w:p w:rsidRPr="00027148" w:rsidR="00F75E6C" w:rsidP="16CDE274" w:rsidRDefault="00F75E6C" w14:paraId="2A7D550E" w14:textId="5DA8D7EF">
            <w:pPr>
              <w:pStyle w:val="TableRowCentered"/>
              <w:numPr>
                <w:ilvl w:val="0"/>
                <w:numId w:val="25"/>
              </w:numPr>
              <w:jc w:val="left"/>
              <w:rPr>
                <w:rFonts w:ascii="Calibri" w:hAnsi="Calibri" w:cs="Calibri" w:asciiTheme="minorAscii" w:hAnsiTheme="minorAscii" w:cstheme="minorAscii"/>
                <w:sz w:val="22"/>
                <w:szCs w:val="22"/>
              </w:rPr>
            </w:pPr>
            <w:r w:rsidRPr="16CDE274" w:rsidR="00F75E6C">
              <w:rPr>
                <w:rFonts w:ascii="Calibri" w:hAnsi="Calibri" w:cs="Calibri" w:asciiTheme="minorAscii" w:hAnsiTheme="minorAscii" w:cstheme="minorAscii"/>
                <w:sz w:val="22"/>
                <w:szCs w:val="22"/>
              </w:rPr>
              <w:t>Y1 phonics data to be in line or</w:t>
            </w:r>
            <w:r w:rsidRPr="16CDE274" w:rsidR="00697B76">
              <w:rPr>
                <w:rFonts w:ascii="Calibri" w:hAnsi="Calibri" w:cs="Calibri" w:asciiTheme="minorAscii" w:hAnsiTheme="minorAscii" w:cstheme="minorAscii"/>
                <w:sz w:val="22"/>
                <w:szCs w:val="22"/>
              </w:rPr>
              <w:t xml:space="preserve"> above national average for 202</w:t>
            </w:r>
            <w:r w:rsidRPr="16CDE274" w:rsidR="7BF3696E">
              <w:rPr>
                <w:rFonts w:ascii="Calibri" w:hAnsi="Calibri" w:cs="Calibri" w:asciiTheme="minorAscii" w:hAnsiTheme="minorAscii" w:cstheme="minorAscii"/>
                <w:sz w:val="22"/>
                <w:szCs w:val="22"/>
              </w:rPr>
              <w:t>6</w:t>
            </w:r>
          </w:p>
        </w:tc>
      </w:tr>
      <w:tr w:rsidR="00086D4C" w:rsidTr="16CDE274" w14:paraId="1FEAF8C1"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00086D4C" w:rsidRDefault="00F73414" w14:paraId="1CBC49D4" w14:textId="12427171">
            <w:pPr>
              <w:pStyle w:val="TableRow"/>
              <w:rPr>
                <w:rFonts w:asciiTheme="minorHAnsi" w:hAnsiTheme="minorHAnsi" w:cstheme="minorHAnsi"/>
                <w:sz w:val="22"/>
                <w:szCs w:val="22"/>
              </w:rPr>
            </w:pPr>
            <w:r w:rsidRPr="00027148">
              <w:rPr>
                <w:rFonts w:asciiTheme="minorHAnsi" w:hAnsiTheme="minorHAnsi" w:cstheme="minorHAnsi"/>
                <w:sz w:val="22"/>
                <w:szCs w:val="22"/>
              </w:rPr>
              <w:t>An increase in a</w:t>
            </w:r>
            <w:r w:rsidRPr="00027148" w:rsidR="00086D4C">
              <w:rPr>
                <w:rFonts w:asciiTheme="minorHAnsi" w:hAnsiTheme="minorHAnsi" w:cstheme="minorHAnsi"/>
                <w:sz w:val="22"/>
                <w:szCs w:val="22"/>
              </w:rPr>
              <w:t>ttendance and</w:t>
            </w:r>
            <w:r w:rsidRPr="00027148">
              <w:rPr>
                <w:rFonts w:asciiTheme="minorHAnsi" w:hAnsiTheme="minorHAnsi" w:cstheme="minorHAnsi"/>
                <w:sz w:val="22"/>
                <w:szCs w:val="22"/>
              </w:rPr>
              <w:t xml:space="preserve"> a decrease of the</w:t>
            </w:r>
            <w:r w:rsidRPr="00027148" w:rsidR="00086D4C">
              <w:rPr>
                <w:rFonts w:asciiTheme="minorHAnsi" w:hAnsiTheme="minorHAnsi" w:cstheme="minorHAnsi"/>
                <w:sz w:val="22"/>
                <w:szCs w:val="22"/>
              </w:rPr>
              <w:t xml:space="preserve"> number of Persistent Absentees.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00F73414" w:rsidRDefault="00F73414" w14:paraId="296A6533" w14:textId="77777777">
            <w:pPr>
              <w:pStyle w:val="TableRowCentered"/>
              <w:numPr>
                <w:ilvl w:val="0"/>
                <w:numId w:val="27"/>
              </w:numPr>
              <w:jc w:val="left"/>
              <w:rPr>
                <w:rFonts w:asciiTheme="minorHAnsi" w:hAnsiTheme="minorHAnsi" w:cstheme="minorHAnsi"/>
                <w:sz w:val="22"/>
                <w:szCs w:val="22"/>
              </w:rPr>
            </w:pPr>
            <w:r w:rsidRPr="00027148">
              <w:rPr>
                <w:rFonts w:asciiTheme="minorHAnsi" w:hAnsiTheme="minorHAnsi" w:cstheme="minorHAnsi"/>
                <w:sz w:val="22"/>
                <w:szCs w:val="22"/>
              </w:rPr>
              <w:t>Attendance team intervention</w:t>
            </w:r>
          </w:p>
          <w:p w:rsidRPr="00027148" w:rsidR="00F73414" w:rsidP="00F73414" w:rsidRDefault="00F73414" w14:paraId="218B93E1" w14:textId="77777777">
            <w:pPr>
              <w:pStyle w:val="TableRowCentered"/>
              <w:numPr>
                <w:ilvl w:val="0"/>
                <w:numId w:val="27"/>
              </w:numPr>
              <w:jc w:val="left"/>
              <w:rPr>
                <w:rFonts w:asciiTheme="minorHAnsi" w:hAnsiTheme="minorHAnsi" w:cstheme="minorHAnsi"/>
                <w:sz w:val="22"/>
                <w:szCs w:val="22"/>
              </w:rPr>
            </w:pPr>
            <w:r w:rsidRPr="00027148">
              <w:rPr>
                <w:rFonts w:asciiTheme="minorHAnsi" w:hAnsiTheme="minorHAnsi" w:cstheme="minorHAnsi"/>
                <w:sz w:val="22"/>
                <w:szCs w:val="22"/>
              </w:rPr>
              <w:t>EWO support</w:t>
            </w:r>
          </w:p>
          <w:p w:rsidRPr="00027148" w:rsidR="00F73414" w:rsidP="00F73414" w:rsidRDefault="00F73414" w14:paraId="7E69122B" w14:textId="4CF6E104">
            <w:pPr>
              <w:pStyle w:val="TableRowCentered"/>
              <w:numPr>
                <w:ilvl w:val="0"/>
                <w:numId w:val="27"/>
              </w:numPr>
              <w:jc w:val="left"/>
              <w:rPr>
                <w:rFonts w:asciiTheme="minorHAnsi" w:hAnsiTheme="minorHAnsi" w:cstheme="minorHAnsi"/>
                <w:sz w:val="22"/>
                <w:szCs w:val="22"/>
              </w:rPr>
            </w:pPr>
            <w:r w:rsidRPr="00027148">
              <w:rPr>
                <w:rFonts w:asciiTheme="minorHAnsi" w:hAnsiTheme="minorHAnsi" w:cstheme="minorHAnsi"/>
                <w:sz w:val="22"/>
                <w:szCs w:val="22"/>
              </w:rPr>
              <w:t>Attendance initiatives</w:t>
            </w:r>
          </w:p>
        </w:tc>
      </w:tr>
      <w:tr w:rsidR="00086D4C" w:rsidTr="16CDE274" w14:paraId="30CED9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086D4C" w:rsidP="00317505" w:rsidRDefault="00317505" w14:paraId="0E9D0C9C" w14:textId="7542FC42">
            <w:pPr>
              <w:pStyle w:val="TableRow"/>
              <w:rPr>
                <w:rFonts w:asciiTheme="minorHAnsi" w:hAnsiTheme="minorHAnsi" w:cstheme="minorHAnsi"/>
                <w:sz w:val="22"/>
                <w:szCs w:val="22"/>
              </w:rPr>
            </w:pPr>
            <w:r w:rsidRPr="00027148">
              <w:rPr>
                <w:rFonts w:asciiTheme="minorHAnsi" w:hAnsiTheme="minorHAnsi" w:cstheme="minorHAnsi"/>
                <w:sz w:val="22"/>
                <w:szCs w:val="22"/>
              </w:rPr>
              <w:t>A strong p</w:t>
            </w:r>
            <w:r w:rsidRPr="00027148" w:rsidR="00086D4C">
              <w:rPr>
                <w:rFonts w:asciiTheme="minorHAnsi" w:hAnsiTheme="minorHAnsi" w:cstheme="minorHAnsi"/>
                <w:sz w:val="22"/>
                <w:szCs w:val="22"/>
              </w:rPr>
              <w:t>arental partnership (parental engagement, support for home learning)</w:t>
            </w:r>
            <w:r w:rsidRPr="00027148" w:rsidR="001852E0">
              <w:rPr>
                <w:rFonts w:asciiTheme="minorHAnsi" w:hAnsiTheme="minorHAnsi" w:cstheme="minorHAnsi"/>
                <w:sz w:val="22"/>
                <w:szCs w:val="22"/>
              </w:rPr>
              <w:t xml:space="preserv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27148" w:rsidR="00F73414" w:rsidP="00F73414" w:rsidRDefault="00F73414" w14:paraId="2E6D93A8" w14:textId="5D576A09">
            <w:pPr>
              <w:pStyle w:val="TableRowCentered"/>
              <w:numPr>
                <w:ilvl w:val="0"/>
                <w:numId w:val="28"/>
              </w:numPr>
              <w:jc w:val="left"/>
              <w:rPr>
                <w:rFonts w:asciiTheme="minorHAnsi" w:hAnsiTheme="minorHAnsi" w:cstheme="minorHAnsi"/>
                <w:sz w:val="22"/>
                <w:szCs w:val="22"/>
              </w:rPr>
            </w:pPr>
            <w:r w:rsidRPr="00027148">
              <w:rPr>
                <w:rFonts w:asciiTheme="minorHAnsi" w:hAnsiTheme="minorHAnsi" w:cstheme="minorHAnsi"/>
                <w:sz w:val="22"/>
                <w:szCs w:val="22"/>
              </w:rPr>
              <w:t>Parent workshops</w:t>
            </w:r>
            <w:r w:rsidR="009B7206">
              <w:rPr>
                <w:rFonts w:asciiTheme="minorHAnsi" w:hAnsiTheme="minorHAnsi" w:cstheme="minorHAnsi"/>
                <w:sz w:val="22"/>
                <w:szCs w:val="22"/>
              </w:rPr>
              <w:t xml:space="preserve"> attended</w:t>
            </w:r>
          </w:p>
          <w:p w:rsidRPr="00027148" w:rsidR="00F73414" w:rsidP="00F73414" w:rsidRDefault="00F73414" w14:paraId="739BFCF4" w14:textId="23022A2B">
            <w:pPr>
              <w:pStyle w:val="TableRowCentered"/>
              <w:numPr>
                <w:ilvl w:val="0"/>
                <w:numId w:val="28"/>
              </w:numPr>
              <w:jc w:val="left"/>
              <w:rPr>
                <w:rFonts w:asciiTheme="minorHAnsi" w:hAnsiTheme="minorHAnsi" w:cstheme="minorHAnsi"/>
                <w:sz w:val="22"/>
                <w:szCs w:val="22"/>
              </w:rPr>
            </w:pPr>
            <w:r w:rsidRPr="00027148">
              <w:rPr>
                <w:rFonts w:asciiTheme="minorHAnsi" w:hAnsiTheme="minorHAnsi" w:cstheme="minorHAnsi"/>
                <w:sz w:val="22"/>
                <w:szCs w:val="22"/>
              </w:rPr>
              <w:t>Stay, Play and Learn Sessions</w:t>
            </w:r>
            <w:r w:rsidR="009B7206">
              <w:rPr>
                <w:rFonts w:asciiTheme="minorHAnsi" w:hAnsiTheme="minorHAnsi" w:cstheme="minorHAnsi"/>
                <w:sz w:val="22"/>
                <w:szCs w:val="22"/>
              </w:rPr>
              <w:t xml:space="preserve"> support families working with their children</w:t>
            </w:r>
          </w:p>
          <w:p w:rsidRPr="00027148" w:rsidR="00086D4C" w:rsidP="00F73414" w:rsidRDefault="00F73414" w14:paraId="39F96CC7" w14:textId="2A025219">
            <w:pPr>
              <w:pStyle w:val="TableRowCentered"/>
              <w:numPr>
                <w:ilvl w:val="0"/>
                <w:numId w:val="28"/>
              </w:numPr>
              <w:jc w:val="left"/>
              <w:rPr>
                <w:rFonts w:asciiTheme="minorHAnsi" w:hAnsiTheme="minorHAnsi" w:cstheme="minorHAnsi"/>
                <w:sz w:val="22"/>
                <w:szCs w:val="22"/>
              </w:rPr>
            </w:pPr>
            <w:r w:rsidRPr="00027148">
              <w:rPr>
                <w:rFonts w:asciiTheme="minorHAnsi" w:hAnsiTheme="minorHAnsi" w:cstheme="minorHAnsi"/>
                <w:sz w:val="22"/>
                <w:szCs w:val="22"/>
              </w:rPr>
              <w:t>SEND Coffee mornings</w:t>
            </w:r>
            <w:r w:rsidRPr="00027148" w:rsidR="00317505">
              <w:rPr>
                <w:rFonts w:asciiTheme="minorHAnsi" w:hAnsiTheme="minorHAnsi" w:cstheme="minorHAnsi"/>
                <w:sz w:val="22"/>
                <w:szCs w:val="22"/>
              </w:rPr>
              <w:t xml:space="preserve"> </w:t>
            </w:r>
          </w:p>
        </w:tc>
      </w:tr>
    </w:tbl>
    <w:p w:rsidR="00E66558" w:rsidP="58B3727D" w:rsidRDefault="00E66558" w14:paraId="106F6A39" w14:textId="179F83CA">
      <w:pPr>
        <w:pStyle w:val="Heading2"/>
        <w:rPr>
          <w:color w:val="00B050"/>
        </w:rPr>
      </w:pPr>
    </w:p>
    <w:p w:rsidR="00BE1F29" w:rsidP="00BE1F29" w:rsidRDefault="00BE1F29" w14:paraId="76D45759" w14:textId="77777777"/>
    <w:p w:rsidR="00BE1F29" w:rsidP="00BE1F29" w:rsidRDefault="00BE1F29" w14:paraId="57AEB7D4" w14:textId="77777777"/>
    <w:p w:rsidRPr="00474F4E" w:rsidR="00E66558" w:rsidRDefault="009D71E8" w14:paraId="2A7D5512" w14:textId="70904979">
      <w:pPr>
        <w:pStyle w:val="Heading2"/>
        <w:rPr>
          <w:color w:val="00B050"/>
        </w:rPr>
      </w:pPr>
      <w:r w:rsidRPr="16CDE274" w:rsidR="009D71E8">
        <w:rPr>
          <w:color w:val="00B050"/>
        </w:rPr>
        <w:t>Activity in this academic year</w:t>
      </w:r>
    </w:p>
    <w:p w:rsidR="00E66558" w:rsidRDefault="009D71E8" w14:paraId="2A7D5513" w14:textId="2490B116">
      <w:pPr>
        <w:spacing w:after="480"/>
      </w:pPr>
      <w:r>
        <w:t>This details how we intend to spend our pupil premium (and recovery premium</w:t>
      </w:r>
      <w:r w:rsidR="00A112B5">
        <w:t>)</w:t>
      </w:r>
      <w:r>
        <w:t xml:space="preserve"> funding </w:t>
      </w:r>
      <w:r w:rsidRPr="58B3727D">
        <w:rPr>
          <w:b/>
          <w:bCs/>
        </w:rPr>
        <w:t>this academic year</w:t>
      </w:r>
      <w:r>
        <w:t xml:space="preserve"> </w:t>
      </w:r>
      <w:r w:rsidRPr="58B3727D" w:rsidR="006D7858">
        <w:rPr>
          <w:b/>
          <w:bCs/>
        </w:rPr>
        <w:t>202</w:t>
      </w:r>
      <w:r w:rsidRPr="58B3727D" w:rsidR="4A75A74D">
        <w:rPr>
          <w:b/>
          <w:bCs/>
        </w:rPr>
        <w:t>5</w:t>
      </w:r>
      <w:r w:rsidRPr="58B3727D" w:rsidR="006D7858">
        <w:rPr>
          <w:b/>
          <w:bCs/>
        </w:rPr>
        <w:t>-202</w:t>
      </w:r>
      <w:r w:rsidRPr="58B3727D" w:rsidR="7990CDD3">
        <w:rPr>
          <w:b/>
          <w:bCs/>
        </w:rPr>
        <w:t>6</w:t>
      </w:r>
      <w:r w:rsidR="006D7858">
        <w:t xml:space="preserve"> </w:t>
      </w:r>
      <w:r>
        <w:t>to addr</w:t>
      </w:r>
      <w:r w:rsidR="00592E81">
        <w:t>ess the challenges listed above</w:t>
      </w:r>
    </w:p>
    <w:p w:rsidRPr="00474F4E" w:rsidR="00E66558" w:rsidRDefault="009D71E8" w14:paraId="2A7D5514" w14:textId="19AB3B05">
      <w:pPr>
        <w:pStyle w:val="Heading3"/>
        <w:rPr>
          <w:color w:val="00B050"/>
        </w:rPr>
      </w:pPr>
      <w:r w:rsidRPr="58B3727D">
        <w:rPr>
          <w:color w:val="00B050"/>
        </w:rPr>
        <w:t>Teaching (for example, CPD, recruitment and retention)</w:t>
      </w:r>
    </w:p>
    <w:p w:rsidR="00E66558" w:rsidRDefault="009D71E8" w14:paraId="2A7D5515" w14:textId="5062FACD">
      <w:r>
        <w:t xml:space="preserve">Budgeted cost: £ </w:t>
      </w:r>
      <w:r w:rsidR="4EEE74D4">
        <w:t>8</w:t>
      </w:r>
      <w:r w:rsidRPr="58B3727D" w:rsidR="000E08A0">
        <w:rPr>
          <w:i/>
          <w:iCs/>
        </w:rPr>
        <w:t>,00</w:t>
      </w:r>
      <w:r w:rsidRPr="58B3727D" w:rsidR="2C8F3770">
        <w:rPr>
          <w:i/>
          <w:iCs/>
        </w:rPr>
        <w:t>0</w:t>
      </w:r>
    </w:p>
    <w:tbl>
      <w:tblPr>
        <w:tblW w:w="5000" w:type="pct"/>
        <w:tblCellMar>
          <w:left w:w="10" w:type="dxa"/>
          <w:right w:w="10" w:type="dxa"/>
        </w:tblCellMar>
        <w:tblLook w:val="04A0" w:firstRow="1" w:lastRow="0" w:firstColumn="1" w:lastColumn="0" w:noHBand="0" w:noVBand="1"/>
      </w:tblPr>
      <w:tblGrid>
        <w:gridCol w:w="2263"/>
        <w:gridCol w:w="5670"/>
        <w:gridCol w:w="1553"/>
      </w:tblGrid>
      <w:tr w:rsidR="00E66558" w:rsidTr="16CDE274" w14:paraId="2A7D5519" w14:textId="77777777">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16" w14:textId="77777777">
            <w:pPr>
              <w:pStyle w:val="TableHeader"/>
              <w:jc w:val="left"/>
            </w:pPr>
            <w:r>
              <w:t>Activity</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16CDE274" w14:paraId="2A7D5521" w14:textId="77777777">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910175" w:rsidP="58B3727D" w:rsidRDefault="4D345187" w14:paraId="5C94F6FB" w14:textId="0AF60623">
            <w:pPr>
              <w:pStyle w:val="TableRow"/>
              <w:rPr>
                <w:rFonts w:asciiTheme="minorHAnsi" w:hAnsiTheme="minorHAnsi" w:cstheme="minorBidi"/>
                <w:i/>
                <w:iCs/>
                <w:sz w:val="22"/>
                <w:szCs w:val="22"/>
              </w:rPr>
            </w:pPr>
            <w:r w:rsidRPr="58B3727D">
              <w:rPr>
                <w:rFonts w:asciiTheme="minorHAnsi" w:hAnsiTheme="minorHAnsi" w:cstheme="minorBidi"/>
                <w:i/>
                <w:iCs/>
                <w:sz w:val="22"/>
                <w:szCs w:val="22"/>
              </w:rPr>
              <w:t>CPD across EYFS setting ELKLAN</w:t>
            </w:r>
          </w:p>
          <w:p w:rsidRPr="00CD4219" w:rsidR="00910175" w:rsidP="58B3727D" w:rsidRDefault="00910175" w14:paraId="2A7D551E" w14:textId="70E15910">
            <w:pPr>
              <w:pStyle w:val="TableRow"/>
              <w:rPr>
                <w:rFonts w:asciiTheme="minorHAnsi" w:hAnsiTheme="minorHAnsi" w:cstheme="minorBidi"/>
                <w:i/>
                <w:iCs/>
                <w:color w:val="FF0000"/>
                <w:sz w:val="22"/>
                <w:szCs w:val="22"/>
              </w:rPr>
            </w:pP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A1A52" w:rsidR="00E66558" w:rsidRDefault="008C5578" w14:paraId="2A7D551F" w14:textId="3622DCFF">
            <w:pPr>
              <w:pStyle w:val="TableRowCentered"/>
              <w:jc w:val="left"/>
              <w:rPr>
                <w:rFonts w:asciiTheme="minorHAnsi" w:hAnsiTheme="minorHAnsi" w:cstheme="minorHAnsi"/>
                <w:sz w:val="20"/>
              </w:rPr>
            </w:pPr>
            <w:r w:rsidRPr="00BA1A52">
              <w:rPr>
                <w:rFonts w:asciiTheme="minorHAnsi" w:hAnsiTheme="minorHAnsi" w:cstheme="minorHAnsi"/>
                <w:sz w:val="20"/>
              </w:rPr>
              <w:t>Supporting continuous and sustained professional development is crucial to developing teacher practice. The content of professional development should be based on the best available evidence and should balance the need to build knowledge, motivate teachers, develop specific techniques, and embed new approaches.</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RDefault="00356874" w14:paraId="2A7D5520" w14:textId="78596994">
            <w:pPr>
              <w:pStyle w:val="TableRowCentered"/>
              <w:jc w:val="left"/>
              <w:rPr>
                <w:rFonts w:asciiTheme="minorHAnsi" w:hAnsiTheme="minorHAnsi" w:cstheme="minorHAnsi"/>
                <w:sz w:val="22"/>
                <w:szCs w:val="22"/>
              </w:rPr>
            </w:pPr>
            <w:r w:rsidRPr="00CD4219">
              <w:rPr>
                <w:rFonts w:asciiTheme="minorHAnsi" w:hAnsiTheme="minorHAnsi" w:cstheme="minorHAnsi"/>
                <w:sz w:val="22"/>
                <w:szCs w:val="22"/>
              </w:rPr>
              <w:t>4</w:t>
            </w:r>
          </w:p>
        </w:tc>
      </w:tr>
      <w:tr w:rsidR="001C7623" w:rsidTr="16CDE274" w14:paraId="10591B9C" w14:textId="77777777">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1C7623" w:rsidP="00F73414" w:rsidRDefault="00AA3703" w14:paraId="624432A1" w14:textId="682BB03A">
            <w:pPr>
              <w:pStyle w:val="TableRow"/>
              <w:rPr>
                <w:rFonts w:asciiTheme="minorHAnsi" w:hAnsiTheme="minorHAnsi" w:cstheme="minorHAnsi"/>
                <w:i/>
                <w:sz w:val="22"/>
                <w:szCs w:val="22"/>
              </w:rPr>
            </w:pPr>
            <w:r>
              <w:rPr>
                <w:rFonts w:asciiTheme="minorHAnsi" w:hAnsiTheme="minorHAnsi" w:cstheme="minorHAnsi"/>
                <w:i/>
                <w:sz w:val="22"/>
                <w:szCs w:val="22"/>
              </w:rPr>
              <w:t xml:space="preserve">Phonics Lead to offer </w:t>
            </w:r>
            <w:r w:rsidR="00164EA1">
              <w:rPr>
                <w:rFonts w:asciiTheme="minorHAnsi" w:hAnsiTheme="minorHAnsi" w:cstheme="minorHAnsi"/>
                <w:i/>
                <w:sz w:val="22"/>
                <w:szCs w:val="22"/>
              </w:rPr>
              <w:t>drop-in</w:t>
            </w:r>
            <w:r>
              <w:rPr>
                <w:rFonts w:asciiTheme="minorHAnsi" w:hAnsiTheme="minorHAnsi" w:cstheme="minorHAnsi"/>
                <w:i/>
                <w:sz w:val="22"/>
                <w:szCs w:val="22"/>
              </w:rPr>
              <w:t xml:space="preserve"> sessions</w:t>
            </w:r>
            <w:r w:rsidR="00A57564">
              <w:rPr>
                <w:rFonts w:asciiTheme="minorHAnsi" w:hAnsiTheme="minorHAnsi" w:cstheme="minorHAnsi"/>
                <w:i/>
                <w:sz w:val="22"/>
                <w:szCs w:val="22"/>
              </w:rPr>
              <w:t xml:space="preserve"> of training for all staff</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A1A52" w:rsidR="001C7623" w:rsidRDefault="00AA3703" w14:paraId="6D572C1E" w14:textId="4416FD92">
            <w:pPr>
              <w:pStyle w:val="TableRowCentered"/>
              <w:jc w:val="left"/>
              <w:rPr>
                <w:rFonts w:asciiTheme="minorHAnsi" w:hAnsiTheme="minorHAnsi" w:cstheme="minorHAnsi"/>
                <w:sz w:val="20"/>
              </w:rPr>
            </w:pPr>
            <w:r w:rsidRPr="00BA1A52">
              <w:rPr>
                <w:rFonts w:asciiTheme="minorHAnsi" w:hAnsiTheme="minorHAnsi" w:cstheme="minorHAnsi"/>
                <w:sz w:val="20"/>
              </w:rPr>
              <w:t>Professional development to support the implementation of validated systematic synthetic phonics programme</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1C7623" w:rsidRDefault="00356874" w14:paraId="44446EBD" w14:textId="046DAB66">
            <w:pPr>
              <w:pStyle w:val="TableRowCentered"/>
              <w:jc w:val="left"/>
              <w:rPr>
                <w:rFonts w:asciiTheme="minorHAnsi" w:hAnsiTheme="minorHAnsi" w:cstheme="minorHAnsi"/>
                <w:sz w:val="22"/>
                <w:szCs w:val="22"/>
              </w:rPr>
            </w:pPr>
            <w:r w:rsidRPr="00CD4219">
              <w:rPr>
                <w:rFonts w:asciiTheme="minorHAnsi" w:hAnsiTheme="minorHAnsi" w:cstheme="minorHAnsi"/>
                <w:sz w:val="22"/>
                <w:szCs w:val="22"/>
              </w:rPr>
              <w:t>1 &amp; 3</w:t>
            </w:r>
          </w:p>
        </w:tc>
      </w:tr>
      <w:tr w:rsidR="001C7623" w:rsidTr="16CDE274" w14:paraId="706A02B7" w14:textId="77777777">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356874" w:rsidP="58B3727D" w:rsidRDefault="04E5F05B" w14:paraId="1B08BFED" w14:textId="0C16CBFD">
            <w:pPr>
              <w:pStyle w:val="TableRow"/>
              <w:rPr>
                <w:rFonts w:asciiTheme="minorHAnsi" w:hAnsiTheme="minorHAnsi" w:cstheme="minorBidi"/>
                <w:i/>
                <w:iCs/>
                <w:sz w:val="22"/>
                <w:szCs w:val="22"/>
              </w:rPr>
            </w:pPr>
            <w:r w:rsidRPr="58B3727D">
              <w:rPr>
                <w:rFonts w:asciiTheme="minorHAnsi" w:hAnsiTheme="minorHAnsi" w:cstheme="minorBidi"/>
                <w:i/>
                <w:iCs/>
                <w:sz w:val="22"/>
                <w:szCs w:val="22"/>
              </w:rPr>
              <w:t>Recruitment and retention of teaching staff - providing cover time to undertake professional development National Professional Qualifications (NPQs)</w:t>
            </w:r>
            <w:r w:rsidRPr="58B3727D" w:rsidR="0CEEFDB5">
              <w:rPr>
                <w:rFonts w:asciiTheme="minorHAnsi" w:hAnsiTheme="minorHAnsi" w:cstheme="minorBidi"/>
                <w:i/>
                <w:iCs/>
                <w:sz w:val="22"/>
                <w:szCs w:val="22"/>
              </w:rPr>
              <w:t xml:space="preserve"> X2 </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E1B36" w:rsidR="00910175" w:rsidP="58B3727D" w:rsidRDefault="0D72C750" w14:paraId="37E6FCC3" w14:textId="685068F6">
            <w:pPr>
              <w:pStyle w:val="TableRowCentered"/>
              <w:jc w:val="left"/>
              <w:rPr>
                <w:rFonts w:asciiTheme="minorHAnsi" w:hAnsiTheme="minorHAnsi" w:cstheme="minorHAnsi"/>
                <w:sz w:val="20"/>
              </w:rPr>
            </w:pPr>
            <w:r w:rsidRPr="002E1B36">
              <w:rPr>
                <w:rFonts w:asciiTheme="minorHAnsi" w:hAnsiTheme="minorHAnsi" w:cstheme="minorHAnsi"/>
                <w:sz w:val="20"/>
              </w:rPr>
              <w:t xml:space="preserve">Staff member undertaking Primary </w:t>
            </w:r>
            <w:r w:rsidRPr="002E1B36" w:rsidR="6DEB5F08">
              <w:rPr>
                <w:rFonts w:asciiTheme="minorHAnsi" w:hAnsiTheme="minorHAnsi" w:cstheme="minorHAnsi"/>
                <w:sz w:val="20"/>
              </w:rPr>
              <w:t>NPQLT</w:t>
            </w:r>
            <w:r w:rsidRPr="002E1B36">
              <w:rPr>
                <w:rFonts w:asciiTheme="minorHAnsi" w:hAnsiTheme="minorHAnsi" w:cstheme="minorHAnsi"/>
                <w:sz w:val="20"/>
              </w:rPr>
              <w:t xml:space="preserve"> Training</w:t>
            </w:r>
          </w:p>
          <w:p w:rsidRPr="002E1B36" w:rsidR="00910175" w:rsidRDefault="00910175" w14:paraId="484F2696" w14:textId="4C7CD8C6">
            <w:pPr>
              <w:pStyle w:val="TableRowCentered"/>
              <w:jc w:val="left"/>
              <w:rPr>
                <w:rFonts w:asciiTheme="minorHAnsi" w:hAnsiTheme="minorHAnsi" w:cstheme="minorHAnsi"/>
                <w:sz w:val="20"/>
              </w:rPr>
            </w:pPr>
            <w:r w:rsidRPr="002E1B36">
              <w:rPr>
                <w:rFonts w:asciiTheme="minorHAnsi" w:hAnsiTheme="minorHAnsi" w:cstheme="minorHAnsi"/>
                <w:sz w:val="20"/>
              </w:rPr>
              <w:t xml:space="preserve">EYFS Staff &amp; Pastoral Team Member to complete </w:t>
            </w:r>
            <w:proofErr w:type="spellStart"/>
            <w:r w:rsidRPr="002E1B36">
              <w:rPr>
                <w:rFonts w:asciiTheme="minorHAnsi" w:hAnsiTheme="minorHAnsi" w:cstheme="minorHAnsi"/>
                <w:sz w:val="20"/>
              </w:rPr>
              <w:t>Elklan</w:t>
            </w:r>
            <w:proofErr w:type="spellEnd"/>
            <w:r w:rsidRPr="002E1B36">
              <w:rPr>
                <w:rFonts w:asciiTheme="minorHAnsi" w:hAnsiTheme="minorHAnsi" w:cstheme="minorHAnsi"/>
                <w:sz w:val="20"/>
              </w:rPr>
              <w:t xml:space="preserve"> Speech and Language training.</w:t>
            </w:r>
          </w:p>
          <w:p w:rsidRPr="002E1B36" w:rsidR="00356874" w:rsidP="58B3727D" w:rsidRDefault="0CEEFDB5" w14:paraId="71FC513A" w14:textId="7CEF03C6">
            <w:pPr>
              <w:pStyle w:val="TableRowCentered"/>
              <w:jc w:val="left"/>
              <w:rPr>
                <w:rFonts w:asciiTheme="minorHAnsi" w:hAnsiTheme="minorHAnsi" w:cstheme="minorHAnsi"/>
                <w:sz w:val="20"/>
              </w:rPr>
            </w:pPr>
            <w:r w:rsidRPr="002E1B36">
              <w:rPr>
                <w:rFonts w:asciiTheme="minorHAnsi" w:hAnsiTheme="minorHAnsi" w:cstheme="minorHAnsi"/>
                <w:sz w:val="20"/>
              </w:rPr>
              <w:t>NP</w:t>
            </w:r>
            <w:r w:rsidRPr="002E1B36" w:rsidR="740C4151">
              <w:rPr>
                <w:rFonts w:asciiTheme="minorHAnsi" w:hAnsiTheme="minorHAnsi" w:cstheme="minorHAnsi"/>
                <w:sz w:val="20"/>
              </w:rPr>
              <w:t>QH</w:t>
            </w:r>
            <w:r w:rsidRPr="002E1B36">
              <w:rPr>
                <w:rFonts w:asciiTheme="minorHAnsi" w:hAnsiTheme="minorHAnsi" w:cstheme="minorHAnsi"/>
                <w:sz w:val="20"/>
              </w:rPr>
              <w:t xml:space="preserve"> – </w:t>
            </w:r>
            <w:r w:rsidRPr="002E1B36" w:rsidR="1A86AFD0">
              <w:rPr>
                <w:rFonts w:asciiTheme="minorHAnsi" w:hAnsiTheme="minorHAnsi" w:cstheme="minorHAnsi"/>
                <w:sz w:val="20"/>
              </w:rPr>
              <w:t>Deputy Head</w:t>
            </w:r>
          </w:p>
          <w:p w:rsidRPr="002E1B36" w:rsidR="008C5578" w:rsidRDefault="008C5578" w14:paraId="72DE4EF9" w14:textId="2B2591EE">
            <w:pPr>
              <w:pStyle w:val="TableRowCentered"/>
              <w:jc w:val="left"/>
              <w:rPr>
                <w:rFonts w:asciiTheme="minorHAnsi" w:hAnsiTheme="minorHAnsi" w:cstheme="minorHAnsi"/>
                <w:sz w:val="20"/>
              </w:rPr>
            </w:pPr>
            <w:r w:rsidRPr="002E1B36">
              <w:rPr>
                <w:rFonts w:asciiTheme="minorHAnsi" w:hAnsiTheme="minorHAnsi" w:cstheme="minorHAnsi"/>
                <w:sz w:val="20"/>
              </w:rPr>
              <w:t>Managing workload and offering effective professional development are key to retaining great teachers, which, in turn, is crucial to maintaining a high standard of teaching and learning.</w:t>
            </w:r>
          </w:p>
          <w:p w:rsidRPr="002E1B36" w:rsidR="00E25DFA" w:rsidP="58B3727D" w:rsidRDefault="00E25DFA" w14:paraId="39B7A331" w14:textId="40816CE1">
            <w:pPr>
              <w:pStyle w:val="TableRowCentered"/>
              <w:ind w:left="0"/>
              <w:jc w:val="left"/>
              <w:rPr>
                <w:rFonts w:asciiTheme="minorHAnsi" w:hAnsiTheme="minorHAnsi" w:cstheme="minorHAnsi"/>
                <w:sz w:val="20"/>
              </w:rPr>
            </w:pP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1C7623" w:rsidRDefault="00E25DFA" w14:paraId="59254F5D" w14:textId="77777777">
            <w:pPr>
              <w:pStyle w:val="TableRowCentered"/>
              <w:jc w:val="left"/>
              <w:rPr>
                <w:rFonts w:asciiTheme="minorHAnsi" w:hAnsiTheme="minorHAnsi" w:cstheme="minorHAnsi"/>
                <w:sz w:val="22"/>
                <w:szCs w:val="22"/>
              </w:rPr>
            </w:pPr>
            <w:r w:rsidRPr="00CD4219">
              <w:rPr>
                <w:rFonts w:asciiTheme="minorHAnsi" w:hAnsiTheme="minorHAnsi" w:cstheme="minorHAnsi"/>
                <w:sz w:val="22"/>
                <w:szCs w:val="22"/>
              </w:rPr>
              <w:t>1, 2 &amp; 6</w:t>
            </w:r>
          </w:p>
          <w:p w:rsidRPr="00CD4219" w:rsidR="00E25DFA" w:rsidRDefault="00E25DFA" w14:paraId="2E2F0ED4" w14:textId="77777777">
            <w:pPr>
              <w:pStyle w:val="TableRowCentered"/>
              <w:jc w:val="left"/>
              <w:rPr>
                <w:rFonts w:asciiTheme="minorHAnsi" w:hAnsiTheme="minorHAnsi" w:cstheme="minorHAnsi"/>
                <w:sz w:val="22"/>
                <w:szCs w:val="22"/>
              </w:rPr>
            </w:pPr>
          </w:p>
          <w:p w:rsidRPr="00CD4219" w:rsidR="00E25DFA" w:rsidRDefault="00E25DFA" w14:paraId="67FAE19B" w14:textId="77777777">
            <w:pPr>
              <w:pStyle w:val="TableRowCentered"/>
              <w:jc w:val="left"/>
              <w:rPr>
                <w:rFonts w:asciiTheme="minorHAnsi" w:hAnsiTheme="minorHAnsi" w:cstheme="minorHAnsi"/>
                <w:sz w:val="22"/>
                <w:szCs w:val="22"/>
              </w:rPr>
            </w:pPr>
          </w:p>
          <w:p w:rsidRPr="00CD4219" w:rsidR="00E25DFA" w:rsidRDefault="00E25DFA" w14:paraId="25FDB6EC" w14:textId="77777777">
            <w:pPr>
              <w:pStyle w:val="TableRowCentered"/>
              <w:jc w:val="left"/>
              <w:rPr>
                <w:rFonts w:asciiTheme="minorHAnsi" w:hAnsiTheme="minorHAnsi" w:cstheme="minorHAnsi"/>
                <w:sz w:val="22"/>
                <w:szCs w:val="22"/>
              </w:rPr>
            </w:pPr>
          </w:p>
          <w:p w:rsidRPr="00CD4219" w:rsidR="00E25DFA" w:rsidRDefault="00E25DFA" w14:paraId="6597C516" w14:textId="77777777">
            <w:pPr>
              <w:pStyle w:val="TableRowCentered"/>
              <w:jc w:val="left"/>
              <w:rPr>
                <w:rFonts w:asciiTheme="minorHAnsi" w:hAnsiTheme="minorHAnsi" w:cstheme="minorHAnsi"/>
                <w:sz w:val="22"/>
                <w:szCs w:val="22"/>
              </w:rPr>
            </w:pPr>
          </w:p>
          <w:p w:rsidRPr="00CD4219" w:rsidR="00E25DFA" w:rsidRDefault="00E25DFA" w14:paraId="16C6C072" w14:textId="77777777">
            <w:pPr>
              <w:pStyle w:val="TableRowCentered"/>
              <w:jc w:val="left"/>
              <w:rPr>
                <w:rFonts w:asciiTheme="minorHAnsi" w:hAnsiTheme="minorHAnsi" w:cstheme="minorHAnsi"/>
                <w:sz w:val="22"/>
                <w:szCs w:val="22"/>
              </w:rPr>
            </w:pPr>
          </w:p>
          <w:p w:rsidRPr="00CD4219" w:rsidR="00E25DFA" w:rsidRDefault="00E25DFA" w14:paraId="2D3E4207" w14:textId="77777777">
            <w:pPr>
              <w:pStyle w:val="TableRowCentered"/>
              <w:jc w:val="left"/>
              <w:rPr>
                <w:rFonts w:asciiTheme="minorHAnsi" w:hAnsiTheme="minorHAnsi" w:cstheme="minorHAnsi"/>
                <w:sz w:val="22"/>
                <w:szCs w:val="22"/>
              </w:rPr>
            </w:pPr>
          </w:p>
          <w:p w:rsidRPr="00CD4219" w:rsidR="00E25DFA" w:rsidP="58B3727D" w:rsidRDefault="00E25DFA" w14:paraId="54FC5C33" w14:textId="3975B2ED">
            <w:pPr>
              <w:pStyle w:val="TableRowCentered"/>
              <w:ind w:left="0"/>
              <w:jc w:val="left"/>
              <w:rPr>
                <w:rFonts w:asciiTheme="minorHAnsi" w:hAnsiTheme="minorHAnsi" w:cstheme="minorBidi"/>
                <w:sz w:val="22"/>
                <w:szCs w:val="22"/>
              </w:rPr>
            </w:pPr>
          </w:p>
        </w:tc>
      </w:tr>
      <w:tr w:rsidR="58B3727D" w:rsidTr="16CDE274" w14:paraId="1A8F7294" w14:textId="77777777">
        <w:trPr>
          <w:trHeight w:val="300"/>
        </w:trPr>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C8646C0" w:rsidP="58B3727D" w:rsidRDefault="1C8646C0" w14:paraId="695A3A64" w14:textId="57FC1FA8">
            <w:pPr>
              <w:pStyle w:val="TableRow"/>
              <w:rPr>
                <w:rFonts w:asciiTheme="minorHAnsi" w:hAnsiTheme="minorHAnsi" w:cstheme="minorBidi"/>
                <w:i/>
                <w:iCs/>
                <w:sz w:val="22"/>
                <w:szCs w:val="22"/>
              </w:rPr>
            </w:pPr>
            <w:r w:rsidRPr="58B3727D">
              <w:rPr>
                <w:rFonts w:asciiTheme="minorHAnsi" w:hAnsiTheme="minorHAnsi" w:cstheme="minorBidi"/>
                <w:i/>
                <w:iCs/>
                <w:sz w:val="22"/>
                <w:szCs w:val="22"/>
              </w:rPr>
              <w:t>Outdoor adventurous activity, dance and netball Training</w:t>
            </w:r>
            <w:r w:rsidR="00A57564">
              <w:rPr>
                <w:rFonts w:asciiTheme="minorHAnsi" w:hAnsiTheme="minorHAnsi" w:cstheme="minorBidi"/>
                <w:i/>
                <w:iCs/>
                <w:sz w:val="22"/>
                <w:szCs w:val="22"/>
              </w:rPr>
              <w:t xml:space="preserve"> for Sports Apprentice</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E1B36" w:rsidR="1C8646C0" w:rsidP="58B3727D" w:rsidRDefault="002E1B36" w14:paraId="4212E19E" w14:textId="1E5630A7">
            <w:pPr>
              <w:pStyle w:val="TableRowCentered"/>
              <w:jc w:val="left"/>
              <w:rPr>
                <w:rFonts w:asciiTheme="minorHAnsi" w:hAnsiTheme="minorHAnsi" w:cstheme="minorHAnsi"/>
                <w:sz w:val="20"/>
              </w:rPr>
            </w:pPr>
            <w:r w:rsidRPr="002E1B36">
              <w:rPr>
                <w:rFonts w:asciiTheme="minorHAnsi" w:hAnsiTheme="minorHAnsi" w:cstheme="minorHAnsi"/>
                <w:sz w:val="20"/>
              </w:rPr>
              <w:t>As above</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3727D" w:rsidP="16CDE274" w:rsidRDefault="58B3727D" w14:paraId="2F550196" w14:textId="0A8E052F">
            <w:pPr>
              <w:pStyle w:val="TableRowCentered"/>
              <w:jc w:val="left"/>
              <w:rPr>
                <w:rFonts w:ascii="Calibri" w:hAnsi="Calibri" w:cs="" w:asciiTheme="minorAscii" w:hAnsiTheme="minorAscii" w:cstheme="minorBidi"/>
                <w:sz w:val="22"/>
                <w:szCs w:val="22"/>
              </w:rPr>
            </w:pPr>
            <w:r w:rsidRPr="16CDE274" w:rsidR="1539821F">
              <w:rPr>
                <w:rFonts w:ascii="Calibri" w:hAnsi="Calibri" w:cs="" w:asciiTheme="minorAscii" w:hAnsiTheme="minorAscii" w:cstheme="minorBidi"/>
                <w:sz w:val="22"/>
                <w:szCs w:val="22"/>
              </w:rPr>
              <w:t>2</w:t>
            </w:r>
          </w:p>
        </w:tc>
      </w:tr>
      <w:tr w:rsidR="58B3727D" w:rsidTr="16CDE274" w14:paraId="2DA59178" w14:textId="77777777">
        <w:trPr>
          <w:trHeight w:val="300"/>
        </w:trPr>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C8646C0" w:rsidP="58B3727D" w:rsidRDefault="1C8646C0" w14:paraId="65D2B92C" w14:textId="48E6CE02">
            <w:pPr>
              <w:pStyle w:val="TableRow"/>
              <w:rPr>
                <w:rFonts w:asciiTheme="minorHAnsi" w:hAnsiTheme="minorHAnsi" w:cstheme="minorBidi"/>
                <w:i/>
                <w:iCs/>
                <w:sz w:val="22"/>
                <w:szCs w:val="22"/>
              </w:rPr>
            </w:pPr>
            <w:r w:rsidRPr="58B3727D">
              <w:rPr>
                <w:rFonts w:asciiTheme="minorHAnsi" w:hAnsiTheme="minorHAnsi" w:cstheme="minorBidi"/>
                <w:i/>
                <w:iCs/>
                <w:sz w:val="22"/>
                <w:szCs w:val="22"/>
              </w:rPr>
              <w:t>Oracy in Mathematics</w:t>
            </w:r>
            <w:r w:rsidR="006F57BE">
              <w:rPr>
                <w:rFonts w:asciiTheme="minorHAnsi" w:hAnsiTheme="minorHAnsi" w:cstheme="minorBidi"/>
                <w:i/>
                <w:iCs/>
                <w:sz w:val="22"/>
                <w:szCs w:val="22"/>
              </w:rPr>
              <w:t xml:space="preserve"> training for lead</w:t>
            </w:r>
          </w:p>
          <w:p w:rsidR="2572CA68" w:rsidP="16CDE274" w:rsidRDefault="006F57BE" w14:paraId="364CFBEC" w14:textId="39C10098">
            <w:pPr>
              <w:pStyle w:val="TableRow"/>
              <w:rPr>
                <w:rFonts w:ascii="Calibri" w:hAnsi="Calibri" w:cs="" w:asciiTheme="minorAscii" w:hAnsiTheme="minorAscii" w:cstheme="minorBidi"/>
                <w:i w:val="1"/>
                <w:iCs w:val="1"/>
                <w:sz w:val="22"/>
                <w:szCs w:val="22"/>
              </w:rPr>
            </w:pPr>
            <w:r w:rsidRPr="16CDE274" w:rsidR="3A90D288">
              <w:rPr>
                <w:rFonts w:ascii="Calibri" w:hAnsi="Calibri" w:cs="" w:asciiTheme="minorAscii" w:hAnsiTheme="minorAscii" w:cstheme="minorBidi"/>
                <w:i w:val="1"/>
                <w:iCs w:val="1"/>
                <w:sz w:val="22"/>
                <w:szCs w:val="22"/>
              </w:rPr>
              <w:t>Greater depth maths training for all teaching staff</w:t>
            </w:r>
            <w:r w:rsidRPr="16CDE274" w:rsidR="3A90D288">
              <w:rPr>
                <w:rFonts w:ascii="Calibri" w:hAnsi="Calibri" w:cs="" w:asciiTheme="minorAscii" w:hAnsiTheme="minorAscii" w:cstheme="minorBidi"/>
                <w:sz w:val="22"/>
                <w:szCs w:val="22"/>
              </w:rPr>
              <w:t xml:space="preserve"> </w:t>
            </w:r>
            <w:r w:rsidRPr="16CDE274" w:rsidR="3A90D288">
              <w:rPr>
                <w:rFonts w:ascii="Calibri" w:hAnsi="Calibri" w:cs="" w:asciiTheme="minorAscii" w:hAnsiTheme="minorAscii" w:cstheme="minorBidi"/>
                <w:i w:val="1"/>
                <w:iCs w:val="1"/>
                <w:sz w:val="22"/>
                <w:szCs w:val="22"/>
              </w:rPr>
              <w:t>February 2026 – Melanie Pitt</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E1B36" w:rsidR="003B5497" w:rsidP="00BA1A52" w:rsidRDefault="001F50CA" w14:paraId="098A5C7F" w14:textId="3CEFA0A4">
            <w:pPr>
              <w:pStyle w:val="TableRowCentered"/>
              <w:ind w:left="0"/>
              <w:jc w:val="left"/>
              <w:rPr>
                <w:rFonts w:asciiTheme="minorHAnsi" w:hAnsiTheme="minorHAnsi" w:cstheme="minorHAnsi"/>
                <w:sz w:val="20"/>
              </w:rPr>
            </w:pPr>
            <w:r w:rsidRPr="002E1B36">
              <w:rPr>
                <w:rFonts w:asciiTheme="minorHAnsi" w:hAnsiTheme="minorHAnsi" w:cstheme="minorHAnsi"/>
                <w:sz w:val="20"/>
              </w:rPr>
              <w:t>Supporting continuous and sustained professional development is crucial to developing teacher practice. The content of professional development should be based on the best available evidence and should balance the need to build knowledge, motivate teachers, develop specific techniques, and embed new approaches.</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3727D" w:rsidP="16CDE274" w:rsidRDefault="58B3727D" w14:paraId="0B21F7DF" w14:textId="432DFE3E">
            <w:pPr>
              <w:pStyle w:val="TableRowCentered"/>
              <w:jc w:val="left"/>
              <w:rPr>
                <w:rFonts w:ascii="Calibri" w:hAnsi="Calibri" w:cs="" w:asciiTheme="minorAscii" w:hAnsiTheme="minorAscii" w:cstheme="minorBidi"/>
                <w:sz w:val="22"/>
                <w:szCs w:val="22"/>
              </w:rPr>
            </w:pPr>
            <w:r w:rsidRPr="16CDE274" w:rsidR="4187DA8C">
              <w:rPr>
                <w:rFonts w:ascii="Calibri" w:hAnsi="Calibri" w:cs="" w:asciiTheme="minorAscii" w:hAnsiTheme="minorAscii" w:cstheme="minorBidi"/>
                <w:sz w:val="22"/>
                <w:szCs w:val="22"/>
              </w:rPr>
              <w:t>1</w:t>
            </w:r>
          </w:p>
        </w:tc>
      </w:tr>
      <w:tr w:rsidR="58B3727D" w:rsidTr="16CDE274" w14:paraId="08D39C0B" w14:textId="77777777">
        <w:trPr>
          <w:trHeight w:val="300"/>
        </w:trPr>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572CA68" w:rsidP="58B3727D" w:rsidRDefault="2572CA68" w14:paraId="7B90C73E" w14:textId="625E1C87">
            <w:pPr>
              <w:pStyle w:val="TableRow"/>
              <w:rPr>
                <w:rFonts w:asciiTheme="minorHAnsi" w:hAnsiTheme="minorHAnsi" w:cstheme="minorBidi"/>
                <w:i/>
                <w:iCs/>
                <w:sz w:val="22"/>
                <w:szCs w:val="22"/>
              </w:rPr>
            </w:pPr>
            <w:r w:rsidRPr="58B3727D">
              <w:rPr>
                <w:rFonts w:asciiTheme="minorHAnsi" w:hAnsiTheme="minorHAnsi" w:cstheme="minorBidi"/>
                <w:i/>
                <w:iCs/>
                <w:sz w:val="22"/>
                <w:szCs w:val="22"/>
              </w:rPr>
              <w:t>Leading English Literacy Counts</w:t>
            </w:r>
            <w:r w:rsidR="002E1B36">
              <w:rPr>
                <w:rFonts w:asciiTheme="minorHAnsi" w:hAnsiTheme="minorHAnsi" w:cstheme="minorBidi"/>
                <w:i/>
                <w:iCs/>
                <w:sz w:val="22"/>
                <w:szCs w:val="22"/>
              </w:rPr>
              <w:t xml:space="preserve"> training for Reading Lead</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E1B36" w:rsidR="58B3727D" w:rsidP="58B3727D" w:rsidRDefault="002E1B36" w14:paraId="31AA3092" w14:textId="107BFF3D">
            <w:pPr>
              <w:pStyle w:val="TableRowCentered"/>
              <w:jc w:val="left"/>
              <w:rPr>
                <w:rFonts w:asciiTheme="minorHAnsi" w:hAnsiTheme="minorHAnsi" w:cstheme="minorBidi"/>
                <w:sz w:val="20"/>
              </w:rPr>
            </w:pPr>
            <w:r w:rsidRPr="002E1B36">
              <w:rPr>
                <w:rFonts w:asciiTheme="minorHAnsi" w:hAnsiTheme="minorHAnsi" w:cstheme="minorBidi"/>
                <w:sz w:val="20"/>
              </w:rPr>
              <w:t>As above</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3727D" w:rsidP="16CDE274" w:rsidRDefault="58B3727D" w14:paraId="70310EFA" w14:textId="7C35854D">
            <w:pPr>
              <w:pStyle w:val="TableRowCentered"/>
              <w:jc w:val="left"/>
              <w:rPr>
                <w:rFonts w:ascii="Calibri" w:hAnsi="Calibri" w:cs="" w:asciiTheme="minorAscii" w:hAnsiTheme="minorAscii" w:cstheme="minorBidi"/>
                <w:sz w:val="22"/>
                <w:szCs w:val="22"/>
              </w:rPr>
            </w:pPr>
            <w:r w:rsidRPr="16CDE274" w:rsidR="088F4E9C">
              <w:rPr>
                <w:rFonts w:ascii="Calibri" w:hAnsi="Calibri" w:cs="" w:asciiTheme="minorAscii" w:hAnsiTheme="minorAscii" w:cstheme="minorBidi"/>
                <w:sz w:val="22"/>
                <w:szCs w:val="22"/>
              </w:rPr>
              <w:t>1</w:t>
            </w:r>
          </w:p>
        </w:tc>
      </w:tr>
      <w:tr w:rsidR="58B3727D" w:rsidTr="16CDE274" w14:paraId="5C928DE8" w14:textId="77777777">
        <w:trPr>
          <w:trHeight w:val="300"/>
        </w:trPr>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0727761" w:rsidP="58B3727D" w:rsidRDefault="70727761" w14:paraId="192D1341" w14:textId="34FF6A66">
            <w:pPr>
              <w:pStyle w:val="TableRow"/>
              <w:rPr>
                <w:rFonts w:asciiTheme="minorHAnsi" w:hAnsiTheme="minorHAnsi" w:cstheme="minorBidi"/>
                <w:i/>
                <w:iCs/>
                <w:sz w:val="22"/>
                <w:szCs w:val="22"/>
              </w:rPr>
            </w:pPr>
            <w:r w:rsidRPr="58B3727D">
              <w:rPr>
                <w:rFonts w:asciiTheme="minorHAnsi" w:hAnsiTheme="minorHAnsi" w:cstheme="minorBidi"/>
                <w:i/>
                <w:iCs/>
                <w:sz w:val="22"/>
                <w:szCs w:val="22"/>
              </w:rPr>
              <w:t>EAL Training</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3727D" w:rsidP="58B3727D" w:rsidRDefault="006123CF" w14:paraId="204A3022" w14:textId="1AB30AD9">
            <w:pPr>
              <w:pStyle w:val="TableRowCentered"/>
              <w:jc w:val="left"/>
              <w:rPr>
                <w:rFonts w:asciiTheme="minorHAnsi" w:hAnsiTheme="minorHAnsi" w:cstheme="minorBidi"/>
                <w:sz w:val="22"/>
                <w:szCs w:val="22"/>
              </w:rPr>
            </w:pPr>
            <w:r>
              <w:rPr>
                <w:rFonts w:asciiTheme="minorHAnsi" w:hAnsiTheme="minorHAnsi" w:cstheme="minorBidi"/>
                <w:sz w:val="22"/>
                <w:szCs w:val="22"/>
              </w:rPr>
              <w:t xml:space="preserve">Twilight session with a focus on </w:t>
            </w:r>
            <w:r w:rsidR="00ED02E3">
              <w:rPr>
                <w:rFonts w:asciiTheme="minorHAnsi" w:hAnsiTheme="minorHAnsi" w:cstheme="minorBidi"/>
                <w:sz w:val="22"/>
                <w:szCs w:val="22"/>
              </w:rPr>
              <w:t>assessing children with EAL</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3727D" w:rsidP="58B3727D" w:rsidRDefault="58B3727D" w14:paraId="6E4DB1FF" w14:textId="1D2BEF1E">
            <w:pPr>
              <w:pStyle w:val="TableRowCentered"/>
              <w:jc w:val="left"/>
              <w:rPr>
                <w:rFonts w:asciiTheme="minorHAnsi" w:hAnsiTheme="minorHAnsi" w:cstheme="minorBidi"/>
                <w:sz w:val="22"/>
                <w:szCs w:val="22"/>
              </w:rPr>
            </w:pPr>
          </w:p>
        </w:tc>
      </w:tr>
      <w:tr w:rsidR="58B3727D" w:rsidTr="16CDE274" w14:paraId="7B67E3F1" w14:textId="77777777">
        <w:trPr>
          <w:trHeight w:val="300"/>
        </w:trPr>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0727761" w:rsidP="58B3727D" w:rsidRDefault="70727761" w14:paraId="65F0927F" w14:textId="0F9FE18B">
            <w:pPr>
              <w:pStyle w:val="TableRow"/>
              <w:rPr>
                <w:rFonts w:asciiTheme="minorHAnsi" w:hAnsiTheme="minorHAnsi" w:cstheme="minorBidi"/>
                <w:i/>
                <w:iCs/>
                <w:sz w:val="22"/>
                <w:szCs w:val="22"/>
              </w:rPr>
            </w:pPr>
            <w:r w:rsidRPr="58B3727D">
              <w:rPr>
                <w:rFonts w:asciiTheme="minorHAnsi" w:hAnsiTheme="minorHAnsi" w:cstheme="minorBidi"/>
                <w:i/>
                <w:iCs/>
                <w:sz w:val="22"/>
                <w:szCs w:val="22"/>
              </w:rPr>
              <w:lastRenderedPageBreak/>
              <w:t>Strong Foundations</w:t>
            </w:r>
            <w:r w:rsidR="00ED02E3">
              <w:rPr>
                <w:rFonts w:asciiTheme="minorHAnsi" w:hAnsiTheme="minorHAnsi" w:cstheme="minorBidi"/>
                <w:i/>
                <w:iCs/>
                <w:sz w:val="22"/>
                <w:szCs w:val="22"/>
              </w:rPr>
              <w:t xml:space="preserve"> Training</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3727D" w:rsidP="58B3727D" w:rsidRDefault="00ED02E3" w14:paraId="0723DF3D" w14:textId="77777777">
            <w:pPr>
              <w:pStyle w:val="TableRowCentered"/>
              <w:jc w:val="left"/>
              <w:rPr>
                <w:rFonts w:asciiTheme="minorHAnsi" w:hAnsiTheme="minorHAnsi" w:cstheme="minorBidi"/>
                <w:sz w:val="22"/>
                <w:szCs w:val="22"/>
              </w:rPr>
            </w:pPr>
            <w:r>
              <w:rPr>
                <w:rFonts w:asciiTheme="minorHAnsi" w:hAnsiTheme="minorHAnsi" w:cstheme="minorBidi"/>
                <w:sz w:val="22"/>
                <w:szCs w:val="22"/>
              </w:rPr>
              <w:t>Lisa Littler training around strong foundations for Early Years &amp; SLT</w:t>
            </w:r>
          </w:p>
          <w:p w:rsidR="00ED02E3" w:rsidP="58B3727D" w:rsidRDefault="00ED02E3" w14:paraId="6D31FA6B" w14:textId="52308624">
            <w:pPr>
              <w:pStyle w:val="TableRowCentered"/>
              <w:jc w:val="left"/>
              <w:rPr>
                <w:rFonts w:asciiTheme="minorHAnsi" w:hAnsiTheme="minorHAnsi" w:cstheme="minorBidi"/>
                <w:sz w:val="22"/>
                <w:szCs w:val="22"/>
              </w:rPr>
            </w:pPr>
            <w:r>
              <w:rPr>
                <w:rFonts w:asciiTheme="minorHAnsi" w:hAnsiTheme="minorHAnsi" w:cstheme="minorBidi"/>
                <w:sz w:val="22"/>
                <w:szCs w:val="22"/>
              </w:rPr>
              <w:t xml:space="preserve">School Improvement Training for Nursery, Reception and Year 1 Staff based upon </w:t>
            </w:r>
            <w:r w:rsidR="00C82478">
              <w:rPr>
                <w:rFonts w:asciiTheme="minorHAnsi" w:hAnsiTheme="minorHAnsi" w:cstheme="minorBidi"/>
                <w:sz w:val="22"/>
                <w:szCs w:val="22"/>
              </w:rPr>
              <w:t>early writing and developing strong foundational skills.</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3727D" w:rsidP="58B3727D" w:rsidRDefault="000B747C" w14:paraId="545105F0" w14:textId="31995EB2">
            <w:pPr>
              <w:pStyle w:val="TableRowCentered"/>
              <w:jc w:val="left"/>
              <w:rPr>
                <w:rFonts w:asciiTheme="minorHAnsi" w:hAnsiTheme="minorHAnsi" w:cstheme="minorBidi"/>
                <w:sz w:val="22"/>
                <w:szCs w:val="22"/>
              </w:rPr>
            </w:pPr>
            <w:r>
              <w:rPr>
                <w:rFonts w:asciiTheme="minorHAnsi" w:hAnsiTheme="minorHAnsi" w:cstheme="minorBidi"/>
                <w:sz w:val="22"/>
                <w:szCs w:val="22"/>
              </w:rPr>
              <w:t>1</w:t>
            </w:r>
          </w:p>
        </w:tc>
      </w:tr>
    </w:tbl>
    <w:p w:rsidR="00E66558" w:rsidP="00ED5108" w:rsidRDefault="00E66558" w14:paraId="2A7D5522" w14:textId="77777777"/>
    <w:p w:rsidRPr="00474F4E" w:rsidR="00E66558" w:rsidP="00AA355B" w:rsidRDefault="009D71E8" w14:paraId="2A7D5523" w14:textId="1EA8C91F">
      <w:pPr>
        <w:pStyle w:val="Heading3"/>
        <w:rPr>
          <w:color w:val="00B050"/>
        </w:rPr>
      </w:pPr>
      <w:r w:rsidRPr="00474F4E">
        <w:rPr>
          <w:color w:val="00B050"/>
        </w:rPr>
        <w:t xml:space="preserve">Targeted academic support </w:t>
      </w:r>
    </w:p>
    <w:p w:rsidR="00E66558" w:rsidRDefault="009D71E8" w14:paraId="2A7D5524" w14:textId="75F5AFF1">
      <w:r>
        <w:t xml:space="preserve">Budgeted cost: £ </w:t>
      </w:r>
      <w:r w:rsidR="006531E0">
        <w:rPr>
          <w:i/>
          <w:iCs/>
        </w:rPr>
        <w:t>267</w:t>
      </w:r>
      <w:r w:rsidR="000E08A0">
        <w:rPr>
          <w:i/>
          <w:iCs/>
        </w:rPr>
        <w:t>,000</w:t>
      </w:r>
    </w:p>
    <w:tbl>
      <w:tblPr>
        <w:tblW w:w="5000" w:type="pct"/>
        <w:tblCellMar>
          <w:left w:w="10" w:type="dxa"/>
          <w:right w:w="10" w:type="dxa"/>
        </w:tblCellMar>
        <w:tblLook w:val="04A0" w:firstRow="1" w:lastRow="0" w:firstColumn="1" w:lastColumn="0" w:noHBand="0" w:noVBand="1"/>
      </w:tblPr>
      <w:tblGrid>
        <w:gridCol w:w="2405"/>
        <w:gridCol w:w="5528"/>
        <w:gridCol w:w="1553"/>
      </w:tblGrid>
      <w:tr w:rsidR="00E66558" w:rsidTr="58B3727D" w14:paraId="2A7D5528"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25" w14:textId="77777777">
            <w:pPr>
              <w:pStyle w:val="TableHeader"/>
              <w:jc w:val="left"/>
            </w:pPr>
            <w:r>
              <w:t>Activity</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00F70171" w:rsidTr="58B3727D" w14:paraId="2A7D552C"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F70171" w:rsidP="58B3727D" w:rsidRDefault="1CFCAC10" w14:paraId="1DCB4C3B" w14:textId="78DBD5E3">
            <w:pPr>
              <w:pStyle w:val="TableRow"/>
              <w:rPr>
                <w:rFonts w:asciiTheme="minorHAnsi" w:hAnsiTheme="minorHAnsi" w:cstheme="minorBidi"/>
                <w:i/>
                <w:iCs/>
                <w:sz w:val="22"/>
                <w:szCs w:val="22"/>
              </w:rPr>
            </w:pPr>
            <w:r w:rsidRPr="58B3727D">
              <w:rPr>
                <w:rFonts w:asciiTheme="minorHAnsi" w:hAnsiTheme="minorHAnsi" w:cstheme="minorBidi"/>
                <w:i/>
                <w:iCs/>
                <w:sz w:val="22"/>
                <w:szCs w:val="22"/>
              </w:rPr>
              <w:t xml:space="preserve">2 X </w:t>
            </w:r>
            <w:r w:rsidRPr="58B3727D" w:rsidR="734E884C">
              <w:rPr>
                <w:rFonts w:asciiTheme="minorHAnsi" w:hAnsiTheme="minorHAnsi" w:cstheme="minorBidi"/>
                <w:i/>
                <w:iCs/>
                <w:sz w:val="22"/>
                <w:szCs w:val="22"/>
              </w:rPr>
              <w:t>Full time</w:t>
            </w:r>
            <w:r w:rsidRPr="58B3727D" w:rsidR="28F18D76">
              <w:rPr>
                <w:rFonts w:asciiTheme="minorHAnsi" w:hAnsiTheme="minorHAnsi" w:cstheme="minorBidi"/>
                <w:i/>
                <w:iCs/>
                <w:sz w:val="22"/>
                <w:szCs w:val="22"/>
              </w:rPr>
              <w:t xml:space="preserve"> SEND and Pastoral Support Worker.</w:t>
            </w:r>
          </w:p>
          <w:p w:rsidRPr="00CD4219" w:rsidR="00F70171" w:rsidP="00F70171" w:rsidRDefault="00F70171" w14:paraId="2A7D5529" w14:textId="1B3825F0">
            <w:pPr>
              <w:pStyle w:val="TableRow"/>
              <w:rPr>
                <w:rFonts w:asciiTheme="minorHAnsi" w:hAnsiTheme="minorHAnsi" w:cstheme="minorHAnsi"/>
                <w:sz w:val="22"/>
                <w:szCs w:val="22"/>
              </w:rPr>
            </w:pPr>
            <w:r w:rsidRPr="00CD4219">
              <w:rPr>
                <w:rFonts w:asciiTheme="minorHAnsi" w:hAnsiTheme="minorHAnsi" w:cstheme="minorHAnsi"/>
                <w:i/>
                <w:iCs/>
                <w:sz w:val="22"/>
                <w:szCs w:val="22"/>
              </w:rPr>
              <w:t xml:space="preserve">Work with identified children on a 1:1 needs basis. </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91887" w:rsidR="00F70171" w:rsidP="00F70171" w:rsidRDefault="00F70171" w14:paraId="4AB44950" w14:textId="77777777">
            <w:pPr>
              <w:pStyle w:val="TableRowCentered"/>
              <w:jc w:val="left"/>
              <w:rPr>
                <w:rFonts w:asciiTheme="minorHAnsi" w:hAnsiTheme="minorHAnsi" w:cstheme="minorHAnsi"/>
                <w:sz w:val="22"/>
                <w:szCs w:val="22"/>
              </w:rPr>
            </w:pPr>
            <w:r w:rsidRPr="00491887">
              <w:rPr>
                <w:rFonts w:asciiTheme="minorHAnsi" w:hAnsiTheme="minorHAnsi" w:cstheme="minorHAnsi"/>
                <w:sz w:val="22"/>
                <w:szCs w:val="22"/>
              </w:rPr>
              <w:t>One to one or small group work support for our most vulnerable children supports their academic progres</w:t>
            </w:r>
            <w:r w:rsidRPr="00491887" w:rsidR="0037388E">
              <w:rPr>
                <w:rFonts w:asciiTheme="minorHAnsi" w:hAnsiTheme="minorHAnsi" w:cstheme="minorHAnsi"/>
                <w:sz w:val="22"/>
                <w:szCs w:val="22"/>
              </w:rPr>
              <w:t>s and their emotional wellbeing.</w:t>
            </w:r>
          </w:p>
          <w:p w:rsidRPr="00491887" w:rsidR="0037388E" w:rsidP="00F70171" w:rsidRDefault="0037388E" w14:paraId="2A7D552A" w14:textId="347460B2">
            <w:pPr>
              <w:pStyle w:val="TableRowCentered"/>
              <w:jc w:val="left"/>
              <w:rPr>
                <w:rFonts w:asciiTheme="minorHAnsi" w:hAnsiTheme="minorHAnsi" w:cstheme="minorHAnsi"/>
                <w:sz w:val="22"/>
                <w:szCs w:val="22"/>
              </w:rPr>
            </w:pPr>
            <w:r w:rsidRPr="00491887">
              <w:rPr>
                <w:rFonts w:asciiTheme="minorHAnsi" w:hAnsiTheme="minorHAnsi" w:cstheme="minorHAnsi"/>
                <w:sz w:val="22"/>
                <w:szCs w:val="22"/>
              </w:rPr>
              <w:t>EEF Menu of Approaches Page 1</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F70171" w:rsidP="00F70171" w:rsidRDefault="00F70171" w14:paraId="2A7D552B" w14:textId="24E8BE3D">
            <w:pPr>
              <w:pStyle w:val="TableRowCentered"/>
              <w:jc w:val="left"/>
              <w:rPr>
                <w:rFonts w:asciiTheme="minorHAnsi" w:hAnsiTheme="minorHAnsi" w:cstheme="minorHAnsi"/>
                <w:sz w:val="22"/>
                <w:szCs w:val="22"/>
              </w:rPr>
            </w:pPr>
            <w:r w:rsidRPr="00CD4219">
              <w:rPr>
                <w:rFonts w:asciiTheme="minorHAnsi" w:hAnsiTheme="minorHAnsi" w:cstheme="minorHAnsi"/>
                <w:sz w:val="22"/>
                <w:szCs w:val="22"/>
              </w:rPr>
              <w:t>4</w:t>
            </w:r>
          </w:p>
        </w:tc>
      </w:tr>
      <w:tr w:rsidR="00E66558" w:rsidTr="58B3727D" w14:paraId="2A7D5530"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RDefault="001C7623" w14:paraId="2A7D552D" w14:textId="7578D0AF">
            <w:pPr>
              <w:pStyle w:val="TableRow"/>
              <w:rPr>
                <w:rFonts w:asciiTheme="minorHAnsi" w:hAnsiTheme="minorHAnsi" w:cstheme="minorHAnsi"/>
                <w:i/>
                <w:sz w:val="22"/>
                <w:szCs w:val="22"/>
              </w:rPr>
            </w:pPr>
            <w:r w:rsidRPr="00CD4219">
              <w:rPr>
                <w:rFonts w:asciiTheme="minorHAnsi" w:hAnsiTheme="minorHAnsi" w:cstheme="minorHAnsi"/>
                <w:i/>
                <w:sz w:val="22"/>
                <w:szCs w:val="22"/>
              </w:rPr>
              <w:t>One to one, small group or peer academic tuition</w:t>
            </w:r>
            <w:r w:rsidR="00D005F1">
              <w:rPr>
                <w:rFonts w:asciiTheme="minorHAnsi" w:hAnsiTheme="minorHAnsi" w:cstheme="minorHAnsi"/>
                <w:i/>
                <w:sz w:val="22"/>
                <w:szCs w:val="22"/>
              </w:rPr>
              <w:t xml:space="preserve"> teacher led</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91887" w:rsidR="00E66558" w:rsidRDefault="00F323B0" w14:paraId="3B922571" w14:textId="77777777">
            <w:pPr>
              <w:pStyle w:val="TableRowCentered"/>
              <w:jc w:val="left"/>
              <w:rPr>
                <w:rFonts w:asciiTheme="minorHAnsi" w:hAnsiTheme="minorHAnsi" w:cstheme="minorHAnsi"/>
                <w:sz w:val="22"/>
                <w:szCs w:val="22"/>
              </w:rPr>
            </w:pPr>
            <w:r w:rsidRPr="00491887">
              <w:rPr>
                <w:rFonts w:asciiTheme="minorHAnsi" w:hAnsiTheme="minorHAnsi" w:cstheme="minorHAnsi"/>
                <w:sz w:val="22"/>
                <w:szCs w:val="22"/>
              </w:rPr>
              <w:t xml:space="preserve">Small group tuition is defined as one teacher or professional educator working with two to five pupils together in a group. This arrangement enables the teacher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w:t>
            </w:r>
            <w:r w:rsidRPr="00491887" w:rsidR="00343D90">
              <w:rPr>
                <w:rFonts w:asciiTheme="minorHAnsi" w:hAnsiTheme="minorHAnsi" w:cstheme="minorHAnsi"/>
                <w:sz w:val="22"/>
                <w:szCs w:val="22"/>
              </w:rPr>
              <w:t xml:space="preserve">or skills. </w:t>
            </w:r>
            <w:r w:rsidRPr="00491887">
              <w:rPr>
                <w:rFonts w:asciiTheme="minorHAnsi" w:hAnsiTheme="minorHAnsi" w:cstheme="minorHAnsi"/>
                <w:sz w:val="22"/>
                <w:szCs w:val="22"/>
              </w:rPr>
              <w:t>Overall, evidence shows that small group tuition is effective and, as a rule of thumb, the smaller the group the better. Tuition in groups of two has a slightly higher impact than in groups of three, but a slightly lower impact than one to one tuition. Some studies suggest that greater feedback from the teacher, more sustained engagement in smaller groups, or work which is more closely matched to learners’ needs explains this impact. Once group size increases above six or seven there is a noticeable reduction in effectiveness.</w:t>
            </w:r>
          </w:p>
          <w:p w:rsidRPr="00491887" w:rsidR="0037388E" w:rsidRDefault="0037388E" w14:paraId="2A7D552E" w14:textId="5C229AEF">
            <w:pPr>
              <w:pStyle w:val="TableRowCentered"/>
              <w:jc w:val="left"/>
              <w:rPr>
                <w:rFonts w:asciiTheme="minorHAnsi" w:hAnsiTheme="minorHAnsi" w:cstheme="minorHAnsi"/>
                <w:sz w:val="22"/>
                <w:szCs w:val="22"/>
              </w:rPr>
            </w:pPr>
            <w:r w:rsidRPr="00491887">
              <w:rPr>
                <w:rFonts w:asciiTheme="minorHAnsi" w:hAnsiTheme="minorHAnsi" w:cstheme="minorHAnsi"/>
                <w:sz w:val="22"/>
                <w:szCs w:val="22"/>
              </w:rPr>
              <w:t>EEF Menu of Approaches Page 1</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RDefault="00A872CC" w14:paraId="2A7D552F" w14:textId="4E435CD0">
            <w:pPr>
              <w:pStyle w:val="TableRowCentered"/>
              <w:jc w:val="left"/>
              <w:rPr>
                <w:rFonts w:asciiTheme="minorHAnsi" w:hAnsiTheme="minorHAnsi" w:cstheme="minorHAnsi"/>
                <w:sz w:val="22"/>
                <w:szCs w:val="22"/>
              </w:rPr>
            </w:pPr>
            <w:r w:rsidRPr="00CD4219">
              <w:rPr>
                <w:rFonts w:asciiTheme="minorHAnsi" w:hAnsiTheme="minorHAnsi" w:cstheme="minorHAnsi"/>
                <w:sz w:val="22"/>
                <w:szCs w:val="22"/>
              </w:rPr>
              <w:t>1</w:t>
            </w:r>
          </w:p>
        </w:tc>
      </w:tr>
      <w:tr w:rsidR="00E25DFA" w:rsidTr="58B3727D" w14:paraId="4BA09875"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25DFA" w:rsidRDefault="00E25DFA" w14:paraId="0F573A17" w14:textId="02A9081E">
            <w:pPr>
              <w:pStyle w:val="TableRow"/>
              <w:rPr>
                <w:rFonts w:asciiTheme="minorHAnsi" w:hAnsiTheme="minorHAnsi" w:cstheme="minorHAnsi"/>
                <w:i/>
                <w:sz w:val="22"/>
                <w:szCs w:val="22"/>
              </w:rPr>
            </w:pPr>
            <w:r w:rsidRPr="00CD4219">
              <w:rPr>
                <w:rFonts w:asciiTheme="minorHAnsi" w:hAnsiTheme="minorHAnsi" w:cstheme="minorHAnsi"/>
                <w:i/>
                <w:sz w:val="22"/>
                <w:szCs w:val="22"/>
              </w:rPr>
              <w:t>Time allocated for teaching assistants to provide 1:1 and small group intervention</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91887" w:rsidR="00E25DFA" w:rsidRDefault="00D005F1" w14:paraId="205C3D14" w14:textId="7D67665B">
            <w:pPr>
              <w:pStyle w:val="TableRowCentered"/>
              <w:jc w:val="left"/>
              <w:rPr>
                <w:rFonts w:asciiTheme="minorHAnsi" w:hAnsiTheme="minorHAnsi" w:cstheme="minorHAnsi"/>
                <w:sz w:val="22"/>
                <w:szCs w:val="22"/>
              </w:rPr>
            </w:pPr>
            <w:r w:rsidRPr="00491887">
              <w:rPr>
                <w:rFonts w:asciiTheme="minorHAnsi" w:hAnsiTheme="minorHAnsi" w:cstheme="minorHAnsi"/>
                <w:sz w:val="22"/>
                <w:szCs w:val="22"/>
              </w:rPr>
              <w:t>As above</w:t>
            </w:r>
          </w:p>
        </w:tc>
        <w:tc>
          <w:tcPr>
            <w:tcW w:w="1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25DFA" w:rsidRDefault="00A872CC" w14:paraId="0D9FEF00" w14:textId="24D0911C">
            <w:pPr>
              <w:pStyle w:val="TableRowCentered"/>
              <w:jc w:val="left"/>
              <w:rPr>
                <w:rFonts w:asciiTheme="minorHAnsi" w:hAnsiTheme="minorHAnsi" w:cstheme="minorHAnsi"/>
                <w:sz w:val="22"/>
                <w:szCs w:val="22"/>
              </w:rPr>
            </w:pPr>
            <w:r w:rsidRPr="00CD4219">
              <w:rPr>
                <w:rFonts w:asciiTheme="minorHAnsi" w:hAnsiTheme="minorHAnsi" w:cstheme="minorHAnsi"/>
                <w:sz w:val="22"/>
                <w:szCs w:val="22"/>
              </w:rPr>
              <w:t>1</w:t>
            </w:r>
          </w:p>
        </w:tc>
      </w:tr>
    </w:tbl>
    <w:p w:rsidR="00E66558" w:rsidP="00AA355B" w:rsidRDefault="00E66558" w14:paraId="2A7D5531" w14:textId="77777777"/>
    <w:p w:rsidRPr="004D2C28" w:rsidR="00E66558" w:rsidP="00AA355B" w:rsidRDefault="009D71E8" w14:paraId="2A7D5532" w14:textId="59A68BC3">
      <w:pPr>
        <w:pStyle w:val="Heading3"/>
        <w:rPr>
          <w:color w:val="00B050"/>
        </w:rPr>
      </w:pPr>
      <w:r w:rsidRPr="004D2C28">
        <w:rPr>
          <w:color w:val="00B050"/>
        </w:rPr>
        <w:lastRenderedPageBreak/>
        <w:t>Wider strategies (for example, related to attendance, behaviour, wellbeing)</w:t>
      </w:r>
    </w:p>
    <w:p w:rsidR="00E66558" w:rsidRDefault="009D71E8" w14:paraId="2A7D5533" w14:textId="317F9F06">
      <w:pPr>
        <w:spacing w:before="240" w:after="120"/>
      </w:pPr>
      <w:r>
        <w:t xml:space="preserve">Budgeted cost: £ </w:t>
      </w:r>
      <w:r w:rsidR="000851E7">
        <w:rPr>
          <w:i/>
          <w:iCs/>
        </w:rPr>
        <w:t>46</w:t>
      </w:r>
      <w:r w:rsidR="00F73414">
        <w:rPr>
          <w:i/>
          <w:iCs/>
        </w:rPr>
        <w:t>,000</w:t>
      </w:r>
    </w:p>
    <w:tbl>
      <w:tblPr>
        <w:tblW w:w="5000" w:type="pct"/>
        <w:tblCellMar>
          <w:left w:w="10" w:type="dxa"/>
          <w:right w:w="10" w:type="dxa"/>
        </w:tblCellMar>
        <w:tblLook w:val="04A0" w:firstRow="1" w:lastRow="0" w:firstColumn="1" w:lastColumn="0" w:noHBand="0" w:noVBand="1"/>
      </w:tblPr>
      <w:tblGrid>
        <w:gridCol w:w="2246"/>
        <w:gridCol w:w="5668"/>
        <w:gridCol w:w="1572"/>
      </w:tblGrid>
      <w:tr w:rsidR="00E66558" w:rsidTr="58B3727D" w14:paraId="2A7D5537"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34" w14:textId="77777777">
            <w:pPr>
              <w:pStyle w:val="TableHeader"/>
              <w:jc w:val="left"/>
            </w:pPr>
            <w:r>
              <w:t>Activity</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58B3727D" w14:paraId="2A7D553B"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P="58B3727D" w:rsidRDefault="032DB07E" w14:paraId="2A7D5538" w14:textId="2EB78B5A">
            <w:pPr>
              <w:pStyle w:val="TableRow"/>
              <w:rPr>
                <w:rFonts w:asciiTheme="minorHAnsi" w:hAnsiTheme="minorHAnsi" w:cstheme="minorBidi"/>
              </w:rPr>
            </w:pPr>
            <w:r w:rsidRPr="58B3727D">
              <w:rPr>
                <w:rFonts w:asciiTheme="minorHAnsi" w:hAnsiTheme="minorHAnsi" w:cstheme="minorBidi"/>
                <w:i/>
                <w:iCs/>
                <w:sz w:val="22"/>
                <w:szCs w:val="22"/>
              </w:rPr>
              <w:t>Wellbeing Team</w:t>
            </w:r>
            <w:r w:rsidRPr="58B3727D" w:rsidR="56A2DB2D">
              <w:rPr>
                <w:rFonts w:asciiTheme="minorHAnsi" w:hAnsiTheme="minorHAnsi" w:cstheme="minorBidi"/>
                <w:i/>
                <w:iCs/>
                <w:sz w:val="22"/>
                <w:szCs w:val="22"/>
              </w:rPr>
              <w:t xml:space="preserve"> – provide strategies that support </w:t>
            </w:r>
            <w:r w:rsidRPr="58B3727D" w:rsidR="12246368">
              <w:rPr>
                <w:rFonts w:asciiTheme="minorHAnsi" w:hAnsiTheme="minorHAnsi" w:cstheme="minorBidi"/>
                <w:i/>
                <w:iCs/>
                <w:sz w:val="22"/>
                <w:szCs w:val="22"/>
              </w:rPr>
              <w:t>children's</w:t>
            </w:r>
            <w:r w:rsidRPr="58B3727D" w:rsidR="56A2DB2D">
              <w:rPr>
                <w:rFonts w:asciiTheme="minorHAnsi" w:hAnsiTheme="minorHAnsi" w:cstheme="minorBidi"/>
                <w:i/>
                <w:iCs/>
                <w:sz w:val="22"/>
                <w:szCs w:val="22"/>
              </w:rPr>
              <w:t xml:space="preserve"> mental health and </w:t>
            </w:r>
            <w:r w:rsidRPr="58B3727D" w:rsidR="4F7B6CB2">
              <w:rPr>
                <w:rFonts w:asciiTheme="minorHAnsi" w:hAnsiTheme="minorHAnsi" w:cstheme="minorBidi"/>
                <w:i/>
                <w:iCs/>
                <w:sz w:val="22"/>
                <w:szCs w:val="22"/>
              </w:rPr>
              <w:t>wellbeing</w:t>
            </w:r>
            <w:r w:rsidRPr="58B3727D" w:rsidR="56A2DB2D">
              <w:rPr>
                <w:rFonts w:asciiTheme="minorHAnsi" w:hAnsiTheme="minorHAnsi" w:cstheme="minorBidi"/>
                <w:i/>
                <w:iCs/>
                <w:sz w:val="22"/>
                <w:szCs w:val="22"/>
              </w:rPr>
              <w:t xml:space="preserve">. Activities such as Yoga Bears, Zones of </w:t>
            </w:r>
            <w:r w:rsidRPr="58B3727D" w:rsidR="4EA6068C">
              <w:rPr>
                <w:rFonts w:asciiTheme="minorHAnsi" w:hAnsiTheme="minorHAnsi" w:cstheme="minorBidi"/>
                <w:i/>
                <w:iCs/>
                <w:sz w:val="22"/>
                <w:szCs w:val="22"/>
              </w:rPr>
              <w:t>Regulation</w:t>
            </w:r>
            <w:r w:rsidRPr="58B3727D" w:rsidR="56A2DB2D">
              <w:rPr>
                <w:rFonts w:asciiTheme="minorHAnsi" w:hAnsiTheme="minorHAnsi" w:cstheme="minorBidi"/>
                <w:i/>
                <w:iCs/>
                <w:sz w:val="22"/>
                <w:szCs w:val="22"/>
              </w:rPr>
              <w:t>, Friendship Groups, Chatterbox.</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D57B0" w:rsidRDefault="00FD57B0" w14:paraId="12E4F021" w14:textId="77777777">
            <w:pPr>
              <w:pStyle w:val="TableRowCentered"/>
              <w:jc w:val="left"/>
              <w:rPr>
                <w:rFonts w:asciiTheme="minorHAnsi" w:hAnsiTheme="minorHAnsi" w:cstheme="minorHAnsi"/>
                <w:sz w:val="22"/>
                <w:szCs w:val="22"/>
              </w:rPr>
            </w:pPr>
            <w:r w:rsidRPr="00FD57B0">
              <w:rPr>
                <w:rFonts w:asciiTheme="minorHAnsi" w:hAnsiTheme="minorHAnsi" w:cstheme="minorHAnsi"/>
                <w:sz w:val="22"/>
                <w:szCs w:val="22"/>
              </w:rPr>
              <w:t xml:space="preserve">Social and emotional skills support effective learning and are linked to positive outcomes later in life. Schools may consider whole-class approaches as well as targeted interventions, monitoring the impact of these choices carefully </w:t>
            </w:r>
          </w:p>
          <w:p w:rsidRPr="00FD57B0" w:rsidR="00E66558" w:rsidRDefault="00FD57B0" w14:paraId="2A7D5539" w14:textId="79DC48E2">
            <w:pPr>
              <w:pStyle w:val="TableRowCentered"/>
              <w:jc w:val="left"/>
              <w:rPr>
                <w:rFonts w:asciiTheme="minorHAnsi" w:hAnsiTheme="minorHAnsi" w:cstheme="minorHAnsi"/>
                <w:i/>
                <w:sz w:val="22"/>
                <w:szCs w:val="22"/>
              </w:rPr>
            </w:pPr>
            <w:r w:rsidRPr="00FD57B0">
              <w:rPr>
                <w:rFonts w:asciiTheme="minorHAnsi" w:hAnsiTheme="minorHAnsi" w:cstheme="minorHAnsi"/>
                <w:i/>
                <w:sz w:val="22"/>
                <w:szCs w:val="22"/>
              </w:rPr>
              <w:t>EEF Menu of Approaches P3</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RDefault="009E6CF4" w14:paraId="2A7D553A" w14:textId="48FA9521">
            <w:pPr>
              <w:pStyle w:val="TableRowCentered"/>
              <w:jc w:val="left"/>
              <w:rPr>
                <w:rFonts w:asciiTheme="minorHAnsi" w:hAnsiTheme="minorHAnsi" w:cstheme="minorHAnsi"/>
                <w:sz w:val="22"/>
              </w:rPr>
            </w:pPr>
            <w:r w:rsidRPr="00CD4219">
              <w:rPr>
                <w:rFonts w:asciiTheme="minorHAnsi" w:hAnsiTheme="minorHAnsi" w:cstheme="minorHAnsi"/>
                <w:sz w:val="22"/>
              </w:rPr>
              <w:t>2 &amp; 5</w:t>
            </w:r>
          </w:p>
        </w:tc>
      </w:tr>
      <w:tr w:rsidR="00E66558" w:rsidTr="58B3727D" w14:paraId="2A7D553F"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RDefault="00F252BC" w14:paraId="2A7D553C" w14:textId="213D0D75">
            <w:pPr>
              <w:pStyle w:val="TableRow"/>
              <w:rPr>
                <w:rFonts w:asciiTheme="minorHAnsi" w:hAnsiTheme="minorHAnsi" w:cstheme="minorHAnsi"/>
                <w:i/>
                <w:sz w:val="22"/>
              </w:rPr>
            </w:pPr>
            <w:r w:rsidRPr="00CD4219">
              <w:rPr>
                <w:rFonts w:asciiTheme="minorHAnsi" w:hAnsiTheme="minorHAnsi" w:cstheme="minorHAnsi"/>
                <w:i/>
                <w:sz w:val="22"/>
              </w:rPr>
              <w:t xml:space="preserve">Wellbeing Walks X2 Per week for identified groups KS1 and </w:t>
            </w:r>
            <w:r w:rsidR="001A60CF">
              <w:rPr>
                <w:rFonts w:asciiTheme="minorHAnsi" w:hAnsiTheme="minorHAnsi" w:cstheme="minorHAnsi"/>
                <w:i/>
                <w:sz w:val="22"/>
              </w:rPr>
              <w:t>KS</w:t>
            </w:r>
            <w:r w:rsidRPr="00CD4219">
              <w:rPr>
                <w:rFonts w:asciiTheme="minorHAnsi" w:hAnsiTheme="minorHAnsi" w:cstheme="minorHAnsi"/>
                <w:i/>
                <w:sz w:val="22"/>
              </w:rPr>
              <w:t>2</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RDefault="00FD57B0" w14:paraId="2A7D553D" w14:textId="63ABEA3D">
            <w:pPr>
              <w:pStyle w:val="TableRowCentered"/>
              <w:jc w:val="left"/>
              <w:rPr>
                <w:rFonts w:asciiTheme="minorHAnsi" w:hAnsiTheme="minorHAnsi" w:cstheme="minorHAnsi"/>
                <w:sz w:val="22"/>
              </w:rPr>
            </w:pPr>
            <w:r>
              <w:rPr>
                <w:rFonts w:asciiTheme="minorHAnsi" w:hAnsiTheme="minorHAnsi" w:cstheme="minorHAnsi"/>
                <w:sz w:val="22"/>
              </w:rPr>
              <w:t>As above</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E66558" w:rsidRDefault="009E6CF4" w14:paraId="2A7D553E" w14:textId="562CEBA4">
            <w:pPr>
              <w:pStyle w:val="TableRowCentered"/>
              <w:jc w:val="left"/>
              <w:rPr>
                <w:rFonts w:asciiTheme="minorHAnsi" w:hAnsiTheme="minorHAnsi" w:cstheme="minorHAnsi"/>
                <w:sz w:val="22"/>
              </w:rPr>
            </w:pPr>
            <w:r w:rsidRPr="00CD4219">
              <w:rPr>
                <w:rFonts w:asciiTheme="minorHAnsi" w:hAnsiTheme="minorHAnsi" w:cstheme="minorHAnsi"/>
                <w:sz w:val="22"/>
              </w:rPr>
              <w:t>4 &amp; 5</w:t>
            </w:r>
          </w:p>
        </w:tc>
      </w:tr>
      <w:tr w:rsidR="00F252BC" w:rsidTr="58B3727D" w14:paraId="157CA2AC"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F252BC" w:rsidRDefault="009E6CF4" w14:paraId="5F0FCEC7" w14:textId="4A191464">
            <w:pPr>
              <w:pStyle w:val="TableRow"/>
              <w:rPr>
                <w:rFonts w:asciiTheme="minorHAnsi" w:hAnsiTheme="minorHAnsi" w:cstheme="minorHAnsi"/>
                <w:i/>
                <w:sz w:val="22"/>
              </w:rPr>
            </w:pPr>
            <w:r w:rsidRPr="00CD4219">
              <w:rPr>
                <w:rFonts w:asciiTheme="minorHAnsi" w:hAnsiTheme="minorHAnsi" w:cstheme="minorHAnsi"/>
                <w:i/>
                <w:sz w:val="22"/>
              </w:rPr>
              <w:t>School Education Welfare Officer and Attendance Lead</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A4713" w:rsidRDefault="00FD57B0" w14:paraId="4C71414B" w14:textId="77777777">
            <w:pPr>
              <w:pStyle w:val="TableRowCentered"/>
              <w:jc w:val="left"/>
              <w:rPr>
                <w:rFonts w:ascii="Calibri" w:hAnsi="Calibri" w:cs="Calibri"/>
              </w:rPr>
            </w:pPr>
            <w:r w:rsidRPr="00FD57B0">
              <w:rPr>
                <w:rFonts w:ascii="Calibri" w:hAnsi="Calibri" w:cs="Calibri"/>
              </w:rPr>
              <w:t xml:space="preserve">Poor attendance at school is linked to poor academic attainment across all stages. Some parental communication approaches and targeted parental engagement interventions show promise in supporting pupil attendance. </w:t>
            </w:r>
          </w:p>
          <w:p w:rsidRPr="00FD57B0" w:rsidR="00F252BC" w:rsidRDefault="00981AEE" w14:paraId="7C7C8AF8" w14:textId="23C15F49">
            <w:pPr>
              <w:pStyle w:val="TableRowCentered"/>
              <w:jc w:val="left"/>
              <w:rPr>
                <w:rFonts w:ascii="Calibri" w:hAnsi="Calibri" w:cs="Calibri"/>
                <w:sz w:val="22"/>
              </w:rPr>
            </w:pPr>
            <w:r w:rsidRPr="00FD57B0">
              <w:rPr>
                <w:rFonts w:asciiTheme="minorHAnsi" w:hAnsiTheme="minorHAnsi" w:cstheme="minorHAnsi"/>
                <w:i/>
                <w:sz w:val="22"/>
                <w:szCs w:val="22"/>
              </w:rPr>
              <w:t>EEF Menu of Approaches P3</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F252BC" w:rsidRDefault="009E6CF4" w14:paraId="50EC54C3" w14:textId="57ABB7BF">
            <w:pPr>
              <w:pStyle w:val="TableRowCentered"/>
              <w:jc w:val="left"/>
              <w:rPr>
                <w:rFonts w:asciiTheme="minorHAnsi" w:hAnsiTheme="minorHAnsi" w:cstheme="minorHAnsi"/>
                <w:sz w:val="22"/>
              </w:rPr>
            </w:pPr>
            <w:r w:rsidRPr="00CD4219">
              <w:rPr>
                <w:rFonts w:asciiTheme="minorHAnsi" w:hAnsiTheme="minorHAnsi" w:cstheme="minorHAnsi"/>
                <w:sz w:val="22"/>
              </w:rPr>
              <w:t>5</w:t>
            </w:r>
          </w:p>
        </w:tc>
      </w:tr>
      <w:tr w:rsidR="00A74779" w:rsidTr="58B3727D" w14:paraId="07FEF56D"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A74779" w:rsidRDefault="00A74779" w14:paraId="27E1F0BE" w14:textId="46DE74F7">
            <w:pPr>
              <w:pStyle w:val="TableRow"/>
              <w:rPr>
                <w:rFonts w:asciiTheme="minorHAnsi" w:hAnsiTheme="minorHAnsi" w:cstheme="minorHAnsi"/>
                <w:i/>
                <w:sz w:val="22"/>
              </w:rPr>
            </w:pPr>
            <w:r w:rsidRPr="00CD4219">
              <w:rPr>
                <w:rFonts w:asciiTheme="minorHAnsi" w:hAnsiTheme="minorHAnsi" w:cstheme="minorHAnsi"/>
                <w:i/>
                <w:sz w:val="22"/>
              </w:rPr>
              <w:t xml:space="preserve">Children’s University </w:t>
            </w:r>
            <w:r w:rsidR="00FD57B0">
              <w:rPr>
                <w:rFonts w:asciiTheme="minorHAnsi" w:hAnsiTheme="minorHAnsi" w:cstheme="minorHAnsi"/>
                <w:i/>
                <w:sz w:val="22"/>
              </w:rPr>
              <w:t>Subscription</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A4713" w:rsidRDefault="00FD57B0" w14:paraId="67E53F5B" w14:textId="5E9CDF93">
            <w:pPr>
              <w:pStyle w:val="TableRowCentered"/>
              <w:jc w:val="left"/>
              <w:rPr>
                <w:rFonts w:ascii="Calibri" w:hAnsi="Calibri" w:cs="Calibri"/>
                <w:color w:val="auto"/>
                <w:sz w:val="22"/>
                <w:szCs w:val="22"/>
              </w:rPr>
            </w:pPr>
            <w:r w:rsidRPr="00FD57B0">
              <w:rPr>
                <w:rFonts w:ascii="Calibri" w:hAnsi="Calibri" w:cs="Calibri"/>
                <w:color w:val="auto"/>
                <w:sz w:val="22"/>
                <w:szCs w:val="22"/>
              </w:rPr>
              <w:t xml:space="preserve">Extracurricular activities are an important part of education in their own right. These approaches may increase engagement in </w:t>
            </w:r>
            <w:r w:rsidRPr="00FD57B0" w:rsidR="004F551F">
              <w:rPr>
                <w:rFonts w:ascii="Calibri" w:hAnsi="Calibri" w:cs="Calibri"/>
                <w:color w:val="auto"/>
                <w:sz w:val="22"/>
                <w:szCs w:val="22"/>
              </w:rPr>
              <w:t>learning,</w:t>
            </w:r>
            <w:r w:rsidRPr="00FD57B0">
              <w:rPr>
                <w:rFonts w:ascii="Calibri" w:hAnsi="Calibri" w:cs="Calibri"/>
                <w:color w:val="auto"/>
                <w:sz w:val="22"/>
                <w:szCs w:val="22"/>
              </w:rPr>
              <w:t xml:space="preserve"> but it is important to consider how increased engagement will be translated into improved outcomes. </w:t>
            </w:r>
          </w:p>
          <w:p w:rsidRPr="00FD57B0" w:rsidR="00A74779" w:rsidRDefault="00FD57B0" w14:paraId="44453F3F" w14:textId="2E35FADA">
            <w:pPr>
              <w:pStyle w:val="TableRowCentered"/>
              <w:jc w:val="left"/>
              <w:rPr>
                <w:rFonts w:ascii="Calibri" w:hAnsi="Calibri" w:cs="Calibri"/>
                <w:color w:val="auto"/>
                <w:sz w:val="22"/>
                <w:szCs w:val="22"/>
              </w:rPr>
            </w:pPr>
            <w:r w:rsidRPr="00FD57B0">
              <w:rPr>
                <w:rFonts w:ascii="Calibri" w:hAnsi="Calibri" w:cs="Calibri"/>
                <w:color w:val="auto"/>
                <w:sz w:val="22"/>
                <w:szCs w:val="22"/>
              </w:rPr>
              <w:t xml:space="preserve">EEF research finds </w:t>
            </w:r>
            <w:r w:rsidRPr="00FD57B0">
              <w:rPr>
                <w:rFonts w:ascii="Calibri" w:hAnsi="Calibri" w:cs="Calibri"/>
                <w:color w:val="auto"/>
                <w:sz w:val="22"/>
                <w:szCs w:val="22"/>
                <w:shd w:val="clear" w:color="auto" w:fill="FFFFFF"/>
              </w:rPr>
              <w:t>Physical activity has important benefits in terms of health, wellbeing and physical development.</w:t>
            </w:r>
          </w:p>
          <w:p w:rsidRPr="00FD57B0" w:rsidR="00FD57B0" w:rsidRDefault="00981AEE" w14:paraId="21DD7A9F" w14:textId="6A0BFD2A">
            <w:pPr>
              <w:pStyle w:val="TableRowCentered"/>
              <w:jc w:val="left"/>
              <w:rPr>
                <w:rFonts w:ascii="Calibri" w:hAnsi="Calibri" w:cs="Calibri"/>
                <w:sz w:val="22"/>
              </w:rPr>
            </w:pPr>
            <w:r w:rsidRPr="00FD57B0">
              <w:rPr>
                <w:rFonts w:asciiTheme="minorHAnsi" w:hAnsiTheme="minorHAnsi" w:cstheme="minorHAnsi"/>
                <w:i/>
                <w:sz w:val="22"/>
                <w:szCs w:val="22"/>
              </w:rPr>
              <w:t>EEF Menu of Approaches P3</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A74779" w:rsidRDefault="00584626" w14:paraId="48B5F82F" w14:textId="7BF8EE36">
            <w:pPr>
              <w:pStyle w:val="TableRowCentered"/>
              <w:jc w:val="left"/>
              <w:rPr>
                <w:rFonts w:asciiTheme="minorHAnsi" w:hAnsiTheme="minorHAnsi" w:cstheme="minorHAnsi"/>
                <w:sz w:val="22"/>
              </w:rPr>
            </w:pPr>
            <w:r w:rsidRPr="00CD4219">
              <w:rPr>
                <w:rFonts w:asciiTheme="minorHAnsi" w:hAnsiTheme="minorHAnsi" w:cstheme="minorHAnsi"/>
                <w:sz w:val="22"/>
              </w:rPr>
              <w:t>2</w:t>
            </w:r>
          </w:p>
        </w:tc>
      </w:tr>
      <w:tr w:rsidR="00A74779" w:rsidTr="58B3727D" w14:paraId="68B8D725"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A74779" w:rsidRDefault="00A74779" w14:paraId="73B3ED5C" w14:textId="7AD67E77">
            <w:pPr>
              <w:pStyle w:val="TableRow"/>
              <w:rPr>
                <w:rFonts w:asciiTheme="minorHAnsi" w:hAnsiTheme="minorHAnsi" w:cstheme="minorHAnsi"/>
                <w:i/>
                <w:sz w:val="22"/>
              </w:rPr>
            </w:pPr>
            <w:r w:rsidRPr="00CD4219">
              <w:rPr>
                <w:rFonts w:asciiTheme="minorHAnsi" w:hAnsiTheme="minorHAnsi" w:cstheme="minorHAnsi"/>
                <w:i/>
                <w:sz w:val="22"/>
              </w:rPr>
              <w:t>Full of Beans Playleaders</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74779" w:rsidRDefault="00FD57B0" w14:paraId="77B102FB" w14:textId="77777777">
            <w:pPr>
              <w:pStyle w:val="TableRowCentered"/>
              <w:jc w:val="left"/>
              <w:rPr>
                <w:rFonts w:asciiTheme="minorHAnsi" w:hAnsiTheme="minorHAnsi" w:cstheme="minorHAnsi"/>
                <w:sz w:val="22"/>
              </w:rPr>
            </w:pPr>
            <w:r>
              <w:rPr>
                <w:rFonts w:asciiTheme="minorHAnsi" w:hAnsiTheme="minorHAnsi" w:cstheme="minorHAnsi"/>
                <w:sz w:val="22"/>
              </w:rPr>
              <w:t>As above</w:t>
            </w:r>
          </w:p>
          <w:p w:rsidRPr="00CD4219" w:rsidR="00FD57B0" w:rsidRDefault="00FD57B0" w14:paraId="58A5DDFA" w14:textId="0AEB93FF">
            <w:pPr>
              <w:pStyle w:val="TableRowCentered"/>
              <w:jc w:val="left"/>
              <w:rPr>
                <w:rFonts w:asciiTheme="minorHAnsi" w:hAnsiTheme="minorHAnsi" w:cstheme="minorHAnsi"/>
                <w:sz w:val="22"/>
              </w:rPr>
            </w:pPr>
            <w:hyperlink w:history="1" r:id="rId7">
              <w:r w:rsidRPr="005A4780">
                <w:rPr>
                  <w:rStyle w:val="Hyperlink"/>
                  <w:rFonts w:asciiTheme="minorHAnsi" w:hAnsiTheme="minorHAnsi" w:cstheme="minorHAnsi"/>
                  <w:sz w:val="22"/>
                </w:rPr>
                <w:t>https://educationendowmentfoundation.org.uk/education-evidence/teaching-learning-toolkit/physical-activity</w:t>
              </w:r>
            </w:hyperlink>
            <w:r>
              <w:rPr>
                <w:rFonts w:asciiTheme="minorHAnsi" w:hAnsiTheme="minorHAnsi" w:cstheme="minorHAnsi"/>
                <w:sz w:val="22"/>
              </w:rPr>
              <w:t xml:space="preserve"> </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A74779" w:rsidRDefault="00584626" w14:paraId="6E41ADE3" w14:textId="3066B3F6">
            <w:pPr>
              <w:pStyle w:val="TableRowCentered"/>
              <w:jc w:val="left"/>
              <w:rPr>
                <w:rFonts w:asciiTheme="minorHAnsi" w:hAnsiTheme="minorHAnsi" w:cstheme="minorHAnsi"/>
                <w:sz w:val="22"/>
              </w:rPr>
            </w:pPr>
            <w:r w:rsidRPr="00CD4219">
              <w:rPr>
                <w:rFonts w:asciiTheme="minorHAnsi" w:hAnsiTheme="minorHAnsi" w:cstheme="minorHAnsi"/>
                <w:sz w:val="22"/>
              </w:rPr>
              <w:t>2</w:t>
            </w:r>
          </w:p>
        </w:tc>
      </w:tr>
      <w:tr w:rsidR="00A74779" w:rsidTr="58B3727D" w14:paraId="666F9E19"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A74779" w:rsidP="003242EE" w:rsidRDefault="003242EE" w14:paraId="2FEF9C3E" w14:textId="1C2858DC">
            <w:pPr>
              <w:pStyle w:val="TableRow"/>
              <w:ind w:left="0"/>
              <w:rPr>
                <w:rFonts w:asciiTheme="minorHAnsi" w:hAnsiTheme="minorHAnsi" w:cstheme="minorHAnsi"/>
                <w:i/>
                <w:sz w:val="22"/>
              </w:rPr>
            </w:pPr>
            <w:r w:rsidRPr="00CD4219">
              <w:rPr>
                <w:rFonts w:asciiTheme="minorHAnsi" w:hAnsiTheme="minorHAnsi" w:cstheme="minorHAnsi"/>
                <w:i/>
                <w:sz w:val="22"/>
              </w:rPr>
              <w:t>Educational visits linked to the curriculum</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74779" w:rsidRDefault="00FD57B0" w14:paraId="272D2660" w14:textId="77777777">
            <w:pPr>
              <w:pStyle w:val="TableRowCentered"/>
              <w:jc w:val="left"/>
              <w:rPr>
                <w:rFonts w:asciiTheme="minorHAnsi" w:hAnsiTheme="minorHAnsi" w:cstheme="minorHAnsi"/>
                <w:color w:val="263238"/>
                <w:sz w:val="22"/>
                <w:szCs w:val="22"/>
                <w:shd w:val="clear" w:color="auto" w:fill="FFFFFF"/>
              </w:rPr>
            </w:pPr>
            <w:r w:rsidRPr="00FD57B0">
              <w:rPr>
                <w:rFonts w:asciiTheme="minorHAnsi" w:hAnsiTheme="minorHAnsi" w:cstheme="minorHAnsi"/>
                <w:color w:val="263238"/>
                <w:sz w:val="22"/>
                <w:szCs w:val="22"/>
                <w:shd w:val="clear" w:color="auto" w:fill="FFFFFF"/>
              </w:rPr>
              <w:t>Arts participation is defined as involvement in artistic and creative activities, such as dance, drama, music, painting, or sculpture. It can occur either as part of the curriculum or as extra-curricular activity. Arts-based approaches may be used in other areas of the curriculum, such as the use of drama to develop engagement and oral language before a writing task. </w:t>
            </w:r>
          </w:p>
          <w:p w:rsidRPr="00FD57B0" w:rsidR="00FD57B0" w:rsidRDefault="00FD57B0" w14:paraId="1649B83D" w14:textId="32533646">
            <w:pPr>
              <w:pStyle w:val="TableRowCentered"/>
              <w:jc w:val="left"/>
              <w:rPr>
                <w:rFonts w:asciiTheme="minorHAnsi" w:hAnsiTheme="minorHAnsi" w:cstheme="minorHAnsi"/>
                <w:sz w:val="22"/>
                <w:szCs w:val="22"/>
              </w:rPr>
            </w:pPr>
            <w:hyperlink w:history="1" r:id="rId8">
              <w:r w:rsidRPr="00FD57B0">
                <w:rPr>
                  <w:rStyle w:val="Hyperlink"/>
                  <w:rFonts w:asciiTheme="minorHAnsi" w:hAnsiTheme="minorHAnsi" w:cstheme="minorHAnsi"/>
                  <w:sz w:val="22"/>
                  <w:szCs w:val="22"/>
                </w:rPr>
                <w:t>https://educationendowmentfoundation.org.uk/education-evidence/teaching-learning-toolkit/arts-participation</w:t>
              </w:r>
            </w:hyperlink>
            <w:r>
              <w:rPr>
                <w:rFonts w:asciiTheme="minorHAnsi" w:hAnsiTheme="minorHAnsi" w:cstheme="minorHAnsi"/>
                <w:sz w:val="22"/>
                <w:szCs w:val="22"/>
              </w:rPr>
              <w:t xml:space="preserve"> </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A74779" w:rsidRDefault="00584626" w14:paraId="252DBB1A" w14:textId="101F7ADF">
            <w:pPr>
              <w:pStyle w:val="TableRowCentered"/>
              <w:jc w:val="left"/>
              <w:rPr>
                <w:rFonts w:asciiTheme="minorHAnsi" w:hAnsiTheme="minorHAnsi" w:cstheme="minorHAnsi"/>
                <w:sz w:val="22"/>
              </w:rPr>
            </w:pPr>
            <w:r w:rsidRPr="00CD4219">
              <w:rPr>
                <w:rFonts w:asciiTheme="minorHAnsi" w:hAnsiTheme="minorHAnsi" w:cstheme="minorHAnsi"/>
                <w:sz w:val="22"/>
              </w:rPr>
              <w:t>2</w:t>
            </w:r>
          </w:p>
        </w:tc>
      </w:tr>
      <w:tr w:rsidR="003242EE" w:rsidTr="58B3727D" w14:paraId="099AD544"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3242EE" w:rsidP="003242EE" w:rsidRDefault="003242EE" w14:paraId="6AFF190C" w14:textId="77777777">
            <w:pPr>
              <w:pStyle w:val="TableRow"/>
              <w:ind w:left="0"/>
              <w:rPr>
                <w:rFonts w:asciiTheme="minorHAnsi" w:hAnsiTheme="minorHAnsi" w:cstheme="minorHAnsi"/>
                <w:i/>
                <w:sz w:val="22"/>
              </w:rPr>
            </w:pPr>
            <w:r w:rsidRPr="00CD4219">
              <w:rPr>
                <w:rFonts w:asciiTheme="minorHAnsi" w:hAnsiTheme="minorHAnsi" w:cstheme="minorHAnsi"/>
                <w:i/>
                <w:sz w:val="22"/>
              </w:rPr>
              <w:lastRenderedPageBreak/>
              <w:t>Breakfast and Afterschool Clubs</w:t>
            </w:r>
          </w:p>
          <w:p w:rsidRPr="00CD4219" w:rsidR="003242EE" w:rsidP="003242EE" w:rsidRDefault="003242EE" w14:paraId="7B882153" w14:textId="467434C5">
            <w:pPr>
              <w:pStyle w:val="TableRow"/>
              <w:ind w:left="0"/>
              <w:rPr>
                <w:rFonts w:asciiTheme="minorHAnsi" w:hAnsiTheme="minorHAnsi" w:cstheme="minorHAnsi"/>
                <w:i/>
                <w:sz w:val="22"/>
              </w:rPr>
            </w:pPr>
            <w:r w:rsidRPr="00CD4219">
              <w:rPr>
                <w:rFonts w:asciiTheme="minorHAnsi" w:hAnsiTheme="minorHAnsi" w:cstheme="minorHAnsi"/>
                <w:i/>
                <w:sz w:val="22"/>
              </w:rPr>
              <w:t xml:space="preserve">Including Chess, Debate Club, Minecraft, Football, Dodgeball, Yoga Bears, Cricket, Cross Country, Cookery, </w:t>
            </w:r>
            <w:r w:rsidRPr="00CD4219" w:rsidR="00F02A9B">
              <w:rPr>
                <w:rFonts w:asciiTheme="minorHAnsi" w:hAnsiTheme="minorHAnsi" w:cstheme="minorHAnsi"/>
                <w:i/>
                <w:sz w:val="22"/>
              </w:rPr>
              <w:t>Girls</w:t>
            </w:r>
            <w:r w:rsidRPr="00CD4219">
              <w:rPr>
                <w:rFonts w:asciiTheme="minorHAnsi" w:hAnsiTheme="minorHAnsi" w:cstheme="minorHAnsi"/>
                <w:i/>
                <w:sz w:val="22"/>
              </w:rPr>
              <w:t xml:space="preserve"> Football.</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D92F5F" w:rsidRDefault="00D92F5F" w14:paraId="501557D5" w14:textId="77777777">
            <w:pPr>
              <w:pStyle w:val="TableRowCentered"/>
              <w:jc w:val="left"/>
              <w:rPr>
                <w:rFonts w:asciiTheme="minorHAnsi" w:hAnsiTheme="minorHAnsi" w:cstheme="minorHAnsi"/>
                <w:sz w:val="22"/>
                <w:szCs w:val="22"/>
              </w:rPr>
            </w:pPr>
            <w:r w:rsidRPr="00D92F5F">
              <w:rPr>
                <w:rFonts w:asciiTheme="minorHAnsi" w:hAnsiTheme="minorHAnsi" w:cstheme="minorHAnsi"/>
                <w:sz w:val="22"/>
                <w:szCs w:val="22"/>
              </w:rPr>
              <w:t xml:space="preserve">There is some evidence that providing free, universal, before-school breakfast clubs can benefit pupils by preparing them for learning or supporting behaviour and school attendance. </w:t>
            </w:r>
          </w:p>
          <w:p w:rsidRPr="00D92F5F" w:rsidR="003242EE" w:rsidRDefault="00D92F5F" w14:paraId="307374D9" w14:textId="6F4BF57B">
            <w:pPr>
              <w:pStyle w:val="TableRowCentered"/>
              <w:jc w:val="left"/>
              <w:rPr>
                <w:rFonts w:asciiTheme="minorHAnsi" w:hAnsiTheme="minorHAnsi" w:cstheme="minorHAnsi"/>
                <w:sz w:val="22"/>
                <w:szCs w:val="22"/>
              </w:rPr>
            </w:pPr>
            <w:r w:rsidRPr="00D92F5F">
              <w:rPr>
                <w:rFonts w:asciiTheme="minorHAnsi" w:hAnsiTheme="minorHAnsi" w:cstheme="minorHAnsi"/>
                <w:i/>
                <w:sz w:val="22"/>
                <w:szCs w:val="22"/>
              </w:rPr>
              <w:t>EEF Menu of Approaches P3</w:t>
            </w:r>
            <w:r>
              <w:rPr>
                <w:rFonts w:asciiTheme="minorHAnsi" w:hAnsiTheme="minorHAnsi" w:cstheme="minorHAnsi"/>
                <w:i/>
                <w:sz w:val="22"/>
                <w:szCs w:val="22"/>
              </w:rPr>
              <w:t>.</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D4219" w:rsidR="003242EE" w:rsidRDefault="003242EE" w14:paraId="585680DF" w14:textId="5EFBC788">
            <w:pPr>
              <w:pStyle w:val="TableRowCentered"/>
              <w:jc w:val="left"/>
              <w:rPr>
                <w:rFonts w:asciiTheme="minorHAnsi" w:hAnsiTheme="minorHAnsi" w:cstheme="minorHAnsi"/>
                <w:sz w:val="22"/>
              </w:rPr>
            </w:pPr>
            <w:r w:rsidRPr="00CD4219">
              <w:rPr>
                <w:rFonts w:asciiTheme="minorHAnsi" w:hAnsiTheme="minorHAnsi" w:cstheme="minorHAnsi"/>
                <w:sz w:val="22"/>
              </w:rPr>
              <w:t>2</w:t>
            </w:r>
          </w:p>
        </w:tc>
      </w:tr>
    </w:tbl>
    <w:p w:rsidR="00E66558" w:rsidRDefault="00E66558" w14:paraId="2A7D5540" w14:textId="77777777">
      <w:pPr>
        <w:spacing w:before="240" w:after="0"/>
        <w:rPr>
          <w:b/>
          <w:bCs/>
          <w:color w:val="104F75"/>
          <w:sz w:val="28"/>
          <w:szCs w:val="28"/>
        </w:rPr>
      </w:pPr>
    </w:p>
    <w:p w:rsidRPr="004D2C28" w:rsidR="00E66558" w:rsidP="00120AB1" w:rsidRDefault="009D71E8" w14:paraId="2A7D5541" w14:textId="60D2755F">
      <w:pPr>
        <w:rPr>
          <w:i/>
          <w:iCs/>
          <w:color w:val="00B050"/>
          <w:sz w:val="28"/>
          <w:szCs w:val="28"/>
        </w:rPr>
      </w:pPr>
      <w:r w:rsidRPr="004D2C28">
        <w:rPr>
          <w:b/>
          <w:bCs/>
          <w:color w:val="00B050"/>
          <w:sz w:val="28"/>
          <w:szCs w:val="28"/>
        </w:rPr>
        <w:t xml:space="preserve">Total budgeted cost: £ </w:t>
      </w:r>
      <w:r w:rsidRPr="004D2C28" w:rsidR="00F73414">
        <w:rPr>
          <w:i/>
          <w:iCs/>
          <w:color w:val="00B050"/>
          <w:sz w:val="28"/>
          <w:szCs w:val="28"/>
        </w:rPr>
        <w:t>3</w:t>
      </w:r>
      <w:r w:rsidR="00C20F21">
        <w:rPr>
          <w:i/>
          <w:iCs/>
          <w:color w:val="00B050"/>
          <w:sz w:val="28"/>
          <w:szCs w:val="28"/>
        </w:rPr>
        <w:t>2</w:t>
      </w:r>
      <w:r w:rsidRPr="004D2C28" w:rsidR="00F73414">
        <w:rPr>
          <w:i/>
          <w:iCs/>
          <w:color w:val="00B050"/>
          <w:sz w:val="28"/>
          <w:szCs w:val="28"/>
        </w:rPr>
        <w:t>1,000</w:t>
      </w:r>
    </w:p>
    <w:p w:rsidRPr="004D2C28" w:rsidR="00F73414" w:rsidP="58B3727D" w:rsidRDefault="00F73414" w14:paraId="0F25A434" w14:textId="32B9F855">
      <w:pPr>
        <w:rPr>
          <w:i/>
          <w:iCs/>
          <w:color w:val="00B050"/>
          <w:sz w:val="28"/>
          <w:szCs w:val="28"/>
        </w:rPr>
      </w:pPr>
      <w:r w:rsidRPr="58B3727D">
        <w:rPr>
          <w:i/>
          <w:iCs/>
          <w:color w:val="00B050"/>
          <w:sz w:val="28"/>
          <w:szCs w:val="28"/>
        </w:rPr>
        <w:t>£</w:t>
      </w:r>
      <w:r w:rsidR="00C20F21">
        <w:rPr>
          <w:i/>
          <w:iCs/>
          <w:color w:val="00B050"/>
          <w:sz w:val="28"/>
          <w:szCs w:val="28"/>
        </w:rPr>
        <w:t>311</w:t>
      </w:r>
      <w:r w:rsidRPr="58B3727D">
        <w:rPr>
          <w:i/>
          <w:iCs/>
          <w:color w:val="00B050"/>
          <w:sz w:val="28"/>
          <w:szCs w:val="28"/>
        </w:rPr>
        <w:t>,</w:t>
      </w:r>
      <w:r w:rsidR="00C20F21">
        <w:rPr>
          <w:i/>
          <w:iCs/>
          <w:color w:val="00B050"/>
          <w:sz w:val="28"/>
          <w:szCs w:val="28"/>
        </w:rPr>
        <w:t>971</w:t>
      </w:r>
      <w:r w:rsidRPr="58B3727D">
        <w:rPr>
          <w:i/>
          <w:iCs/>
          <w:color w:val="00B050"/>
          <w:sz w:val="28"/>
          <w:szCs w:val="28"/>
        </w:rPr>
        <w:t xml:space="preserve"> provided from Pupil </w:t>
      </w:r>
      <w:r w:rsidRPr="58B3727D" w:rsidR="5ADF378D">
        <w:rPr>
          <w:i/>
          <w:iCs/>
          <w:color w:val="00B050"/>
          <w:sz w:val="28"/>
          <w:szCs w:val="28"/>
        </w:rPr>
        <w:t>Premium</w:t>
      </w:r>
    </w:p>
    <w:p w:rsidR="00C32741" w:rsidP="58B3727D" w:rsidRDefault="00C32741" w14:paraId="46A1AB76" w14:textId="237A5CAF">
      <w:pPr>
        <w:rPr>
          <w:i/>
          <w:iCs/>
          <w:color w:val="104F75"/>
          <w:sz w:val="28"/>
          <w:szCs w:val="28"/>
        </w:rPr>
      </w:pPr>
      <w:r w:rsidRPr="58B3727D">
        <w:rPr>
          <w:i/>
          <w:iCs/>
          <w:color w:val="00B050"/>
          <w:sz w:val="28"/>
          <w:szCs w:val="28"/>
        </w:rPr>
        <w:t>£</w:t>
      </w:r>
      <w:r w:rsidR="00ED7852">
        <w:rPr>
          <w:i/>
          <w:iCs/>
          <w:color w:val="00B050"/>
          <w:sz w:val="28"/>
          <w:szCs w:val="28"/>
        </w:rPr>
        <w:t>9</w:t>
      </w:r>
      <w:r w:rsidRPr="58B3727D">
        <w:rPr>
          <w:i/>
          <w:iCs/>
          <w:color w:val="00B050"/>
          <w:sz w:val="28"/>
          <w:szCs w:val="28"/>
        </w:rPr>
        <w:t>,0</w:t>
      </w:r>
      <w:r w:rsidR="00ED7852">
        <w:rPr>
          <w:i/>
          <w:iCs/>
          <w:color w:val="00B050"/>
          <w:sz w:val="28"/>
          <w:szCs w:val="28"/>
        </w:rPr>
        <w:t>29</w:t>
      </w:r>
      <w:r w:rsidRPr="58B3727D">
        <w:rPr>
          <w:i/>
          <w:iCs/>
          <w:color w:val="00B050"/>
          <w:sz w:val="28"/>
          <w:szCs w:val="28"/>
        </w:rPr>
        <w:t xml:space="preserve"> from school budget</w:t>
      </w:r>
    </w:p>
    <w:p w:rsidRPr="004D2C28" w:rsidR="008B6404" w:rsidP="00173D4C" w:rsidRDefault="008B6404" w14:paraId="751285B7" w14:textId="237AF24D">
      <w:pPr>
        <w:pStyle w:val="Heading2"/>
        <w:rPr>
          <w:color w:val="00B050"/>
        </w:rPr>
      </w:pPr>
    </w:p>
    <w:p w:rsidR="16CDE274" w:rsidP="16CDE274" w:rsidRDefault="16CDE274" w14:paraId="5EFE609E" w14:textId="378861F0">
      <w:pPr>
        <w:pStyle w:val="Normal"/>
      </w:pPr>
    </w:p>
    <w:p w:rsidR="16CDE274" w:rsidP="16CDE274" w:rsidRDefault="16CDE274" w14:paraId="029E6294" w14:textId="1ADAD708">
      <w:pPr>
        <w:pStyle w:val="Normal"/>
      </w:pPr>
    </w:p>
    <w:p w:rsidR="16CDE274" w:rsidP="16CDE274" w:rsidRDefault="16CDE274" w14:paraId="39FA1DE1" w14:textId="784724D8">
      <w:pPr>
        <w:pStyle w:val="Normal"/>
      </w:pPr>
    </w:p>
    <w:p w:rsidR="16CDE274" w:rsidP="16CDE274" w:rsidRDefault="16CDE274" w14:paraId="01AFADF4" w14:textId="7CDDC165">
      <w:pPr>
        <w:pStyle w:val="Normal"/>
      </w:pPr>
    </w:p>
    <w:tbl>
      <w:tblPr>
        <w:tblW w:w="9501" w:type="dxa"/>
        <w:tblCellMar>
          <w:left w:w="10" w:type="dxa"/>
          <w:right w:w="10" w:type="dxa"/>
        </w:tblCellMar>
        <w:tblLook w:val="04A0" w:firstRow="1" w:lastRow="0" w:firstColumn="1" w:lastColumn="0" w:noHBand="0" w:noVBand="1"/>
      </w:tblPr>
      <w:tblGrid>
        <w:gridCol w:w="10382"/>
      </w:tblGrid>
      <w:tr w:rsidR="00173D4C" w:rsidTr="58B3727D" w14:paraId="7FB51099" w14:textId="77777777">
        <w:trPr>
          <w:trHeight w:val="1102"/>
        </w:trPr>
        <w:tc>
          <w:tcPr>
            <w:tcW w:w="95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D2C28" w:rsidR="00CC0CEB" w:rsidP="00CC0CEB" w:rsidRDefault="734E884C" w14:paraId="366E2AEE" w14:textId="77777777">
            <w:pPr>
              <w:pStyle w:val="Heading1"/>
              <w:rPr>
                <w:color w:val="00B050"/>
              </w:rPr>
            </w:pPr>
            <w:r w:rsidRPr="58B3727D">
              <w:rPr>
                <w:color w:val="00B050"/>
              </w:rPr>
              <w:lastRenderedPageBreak/>
              <w:t xml:space="preserve">Part B: </w:t>
            </w:r>
            <w:r w:rsidRPr="58B3727D">
              <w:rPr>
                <w:color w:val="FF0000"/>
              </w:rPr>
              <w:t>Review of the previous academic year</w:t>
            </w:r>
          </w:p>
          <w:p w:rsidRPr="004D2C28" w:rsidR="00CC0CEB" w:rsidP="00CC0CEB" w:rsidRDefault="00CC0CEB" w14:paraId="3B71CAB9" w14:textId="77777777">
            <w:pPr>
              <w:pStyle w:val="Heading2"/>
              <w:rPr>
                <w:color w:val="00B050"/>
              </w:rPr>
            </w:pPr>
            <w:r w:rsidRPr="004D2C28">
              <w:rPr>
                <w:color w:val="00B050"/>
              </w:rPr>
              <w:t>Outcomes for disadvantaged pupils</w:t>
            </w:r>
          </w:p>
          <w:tbl>
            <w:tblPr>
              <w:tblW w:w="9501" w:type="dxa"/>
              <w:tblCellMar>
                <w:left w:w="10" w:type="dxa"/>
                <w:right w:w="10" w:type="dxa"/>
              </w:tblCellMar>
              <w:tblLook w:val="04A0" w:firstRow="1" w:lastRow="0" w:firstColumn="1" w:lastColumn="0" w:noHBand="0" w:noVBand="1"/>
            </w:tblPr>
            <w:tblGrid>
              <w:gridCol w:w="10156"/>
            </w:tblGrid>
            <w:tr w:rsidR="00CC0CEB" w:rsidTr="58B3727D" w14:paraId="270FFEDB" w14:textId="77777777">
              <w:trPr>
                <w:trHeight w:val="1102"/>
              </w:trPr>
              <w:tc>
                <w:tcPr>
                  <w:tcW w:w="95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0CEB" w:rsidP="00CC0CEB" w:rsidRDefault="00CC0CEB" w14:paraId="177AE204" w14:textId="4F1EF503">
                  <w:r>
                    <w:t>We have made significant progress towards achieving the intended outcomes set out in our 202</w:t>
                  </w:r>
                  <w:r w:rsidR="00ED7852">
                    <w:t>4</w:t>
                  </w:r>
                  <w:r>
                    <w:t>/2</w:t>
                  </w:r>
                  <w:r w:rsidR="00ED7852">
                    <w:t>5</w:t>
                  </w:r>
                  <w:r>
                    <w:t xml:space="preserve"> strategy plan. We successfully embedded Essential Letters and Sounds Phonics scheme and made significant improvements on the number of children achieving the pass mark than in 202</w:t>
                  </w:r>
                  <w:r w:rsidR="004A77A4">
                    <w:t>3</w:t>
                  </w:r>
                  <w:r>
                    <w:t>/2</w:t>
                  </w:r>
                  <w:r w:rsidR="004A77A4">
                    <w:t>4</w:t>
                  </w:r>
                  <w:r>
                    <w:t xml:space="preserve">. Strong subject leadership, high-quality phonics teaching and a relentless focus on providing the best support for our pupils so that they learn to read proficiently, has led to improved outcomes. This and working alongside practitioners from </w:t>
                  </w:r>
                  <w:proofErr w:type="spellStart"/>
                  <w:r>
                    <w:t>Childer</w:t>
                  </w:r>
                  <w:proofErr w:type="spellEnd"/>
                  <w:r>
                    <w:t xml:space="preserve"> Thorton Hub has really improved how we deliver early reading.</w:t>
                  </w:r>
                </w:p>
                <w:p w:rsidR="00CC0CEB" w:rsidP="00CC0CEB" w:rsidRDefault="00CC0CEB" w14:paraId="603D7FE1" w14:textId="77777777">
                  <w:r>
                    <w:t xml:space="preserve">The school has a strong commitment to supporting the CPD of all staff. A multitude of training and support has been put in place to enhance the skills of our biggest resource and, in return, led to improvements in the quality of first teaching. Considerable time and resource has been spent improving staff knowledge and understanding of children with SEND, a growing number in our setting. The quality of support provided by our Inclusion team has been identified as a strength during a recent, commissioned review of our SEND provision. </w:t>
                  </w:r>
                </w:p>
                <w:p w:rsidRPr="00474F4E" w:rsidR="00CC0CEB" w:rsidP="00CC0CEB" w:rsidRDefault="00CC0CEB" w14:paraId="325FBF12" w14:textId="7F28F4AB">
                  <w:pPr>
                    <w:rPr>
                      <w:b/>
                    </w:rPr>
                  </w:pPr>
                  <w:r w:rsidRPr="00474F4E">
                    <w:rPr>
                      <w:b/>
                    </w:rPr>
                    <w:t>Outcomes for disadvantaged pupils in the 202</w:t>
                  </w:r>
                  <w:r w:rsidR="001951A2">
                    <w:rPr>
                      <w:b/>
                    </w:rPr>
                    <w:t>5</w:t>
                  </w:r>
                  <w:r w:rsidRPr="00474F4E">
                    <w:rPr>
                      <w:b/>
                    </w:rPr>
                    <w:t xml:space="preserve"> statutory assessments </w:t>
                  </w:r>
                </w:p>
                <w:p w:rsidR="00CC0CEB" w:rsidP="00CC0CEB" w:rsidRDefault="00CC0CEB" w14:paraId="1E31D156" w14:textId="0821EE64">
                  <w:r>
                    <w:t>We have analysed the performance of our school’s disadvantaged pupils at the end of the 202</w:t>
                  </w:r>
                  <w:r w:rsidR="00653441">
                    <w:t>4</w:t>
                  </w:r>
                  <w:r>
                    <w:t>/2</w:t>
                  </w:r>
                  <w:r w:rsidR="00653441">
                    <w:t>5</w:t>
                  </w:r>
                  <w:r>
                    <w:t xml:space="preserve"> academic year using national performance data, phonics check results and our own internal tracking system and assessments. This review captures the attainment of pupil</w:t>
                  </w:r>
                  <w:r w:rsidR="00C50991">
                    <w:t xml:space="preserve">s in Reception, Year 1, </w:t>
                  </w:r>
                  <w:r>
                    <w:t xml:space="preserve">Year 4 and Year 6 - those areas where a statutory testing and data submission is required. </w:t>
                  </w:r>
                </w:p>
                <w:p w:rsidR="00CC0CEB" w:rsidP="00CC0CEB" w:rsidRDefault="00CC0CEB" w14:paraId="783881C4" w14:textId="10D909A9">
                  <w:r w:rsidRPr="00706750">
                    <w:rPr>
                      <w:b/>
                    </w:rPr>
                    <w:t>Reception GLD 202</w:t>
                  </w:r>
                  <w:r w:rsidR="00653441">
                    <w:rPr>
                      <w:b/>
                    </w:rPr>
                    <w:t>5</w:t>
                  </w:r>
                </w:p>
                <w:p w:rsidR="00CC0CEB" w:rsidP="00CC0CEB" w:rsidRDefault="00CC0CEB" w14:paraId="2AD73EE1" w14:textId="0D6B7FD6">
                  <w:r>
                    <w:t>63</w:t>
                  </w:r>
                  <w:r w:rsidR="007E652E">
                    <w:t>.4</w:t>
                  </w:r>
                  <w:r>
                    <w:t>% of our Reception cohort achieved GLD at the end of 2024. 65% of children who are entitled to Pupil Premium funding achieved this mark, this is in line with those who are not entitled to the funding.</w:t>
                  </w:r>
                  <w:r w:rsidR="00A55037">
                    <w:t xml:space="preserve"> </w:t>
                  </w:r>
                </w:p>
                <w:p w:rsidRPr="00BC68B2" w:rsidR="00CC0CEB" w:rsidP="00CC0CEB" w:rsidRDefault="00CC0CEB" w14:paraId="1E940F30" w14:textId="48882BD9">
                  <w:pPr>
                    <w:rPr>
                      <w:b/>
                    </w:rPr>
                  </w:pPr>
                  <w:r w:rsidRPr="00BC68B2">
                    <w:rPr>
                      <w:b/>
                    </w:rPr>
                    <w:t>Year 1 Phonics Screening Check in 202</w:t>
                  </w:r>
                  <w:r w:rsidR="00653441">
                    <w:rPr>
                      <w:b/>
                    </w:rPr>
                    <w:t>5</w:t>
                  </w:r>
                  <w:r w:rsidRPr="00BC68B2">
                    <w:rPr>
                      <w:b/>
                    </w:rPr>
                    <w:t xml:space="preserve"> </w:t>
                  </w:r>
                </w:p>
                <w:p w:rsidR="00CC0CEB" w:rsidP="00CC0CEB" w:rsidRDefault="00CC0CEB" w14:paraId="311768EC" w14:textId="6BD68521">
                  <w:r>
                    <w:t>Outcomes in the Year 1 PSC continue to grow from strength to strength and we continue to close the gap to national. Our outcomes in 202</w:t>
                  </w:r>
                  <w:r w:rsidR="00A67C9E">
                    <w:t>5</w:t>
                  </w:r>
                  <w:r>
                    <w:t xml:space="preserve"> were</w:t>
                  </w:r>
                  <w:r w:rsidR="00217D96">
                    <w:t xml:space="preserve"> </w:t>
                  </w:r>
                  <w:r w:rsidR="001D5168">
                    <w:t>higher than</w:t>
                  </w:r>
                  <w:r w:rsidR="00217D96">
                    <w:t xml:space="preserve"> the national average, this is due to the rigorous teaching and</w:t>
                  </w:r>
                  <w:r>
                    <w:t xml:space="preserve"> the successful implementation of our </w:t>
                  </w:r>
                  <w:r w:rsidR="00B80E7F">
                    <w:t xml:space="preserve">Systematic </w:t>
                  </w:r>
                  <w:r>
                    <w:t>S</w:t>
                  </w:r>
                  <w:r w:rsidR="00B80E7F">
                    <w:t xml:space="preserve">ynthetic </w:t>
                  </w:r>
                  <w:r>
                    <w:t>P</w:t>
                  </w:r>
                  <w:r w:rsidR="00B80E7F">
                    <w:t xml:space="preserve">honics Programme, </w:t>
                  </w:r>
                  <w:r>
                    <w:t>E</w:t>
                  </w:r>
                  <w:r w:rsidR="00B80E7F">
                    <w:t xml:space="preserve">ssential </w:t>
                  </w:r>
                  <w:r>
                    <w:t>L</w:t>
                  </w:r>
                  <w:r w:rsidR="00B80E7F">
                    <w:t xml:space="preserve">etters and </w:t>
                  </w:r>
                  <w:r>
                    <w:t>S</w:t>
                  </w:r>
                  <w:r w:rsidR="00B80E7F">
                    <w:t>ounds. S</w:t>
                  </w:r>
                  <w:r>
                    <w:t>trong teaching as a result of strong subject leadership</w:t>
                  </w:r>
                  <w:r w:rsidR="00B80E7F">
                    <w:t xml:space="preserve"> has also had a positive impact. O</w:t>
                  </w:r>
                  <w:r>
                    <w:t xml:space="preserve">verall Year 1 Phonics attainment was 80%, in line with national. </w:t>
                  </w:r>
                  <w:r w:rsidR="00B90F46">
                    <w:t>7</w:t>
                  </w:r>
                  <w:r>
                    <w:t>5% of those entitled to Pupil Premium Funding achieved the pass mark</w:t>
                  </w:r>
                  <w:r w:rsidR="00B90F46">
                    <w:t xml:space="preserve">, this is higher than the national </w:t>
                  </w:r>
                  <w:r w:rsidR="00CE337C">
                    <w:t>67%.</w:t>
                  </w:r>
                </w:p>
                <w:p w:rsidR="00FE6E6C" w:rsidP="58B3727D" w:rsidRDefault="00FE6E6C" w14:paraId="662A77A3" w14:textId="111A4330">
                  <w:pPr>
                    <w:rPr>
                      <w:b/>
                      <w:bCs/>
                    </w:rPr>
                  </w:pPr>
                </w:p>
                <w:p w:rsidRPr="00E8447C" w:rsidR="00CC0CEB" w:rsidP="00CC0CEB" w:rsidRDefault="00CC0CEB" w14:paraId="6A210052" w14:textId="48A5A57B">
                  <w:pPr>
                    <w:rPr>
                      <w:b/>
                    </w:rPr>
                  </w:pPr>
                  <w:r w:rsidRPr="00E8447C">
                    <w:rPr>
                      <w:b/>
                    </w:rPr>
                    <w:lastRenderedPageBreak/>
                    <w:t>Year 4 Multiplications Check 202</w:t>
                  </w:r>
                  <w:r w:rsidR="00653441">
                    <w:rPr>
                      <w:b/>
                    </w:rPr>
                    <w:t>5</w:t>
                  </w:r>
                </w:p>
                <w:p w:rsidR="00CC0CEB" w:rsidP="00CC0CEB" w:rsidRDefault="00BC3ED6" w14:paraId="0F163AC9" w14:textId="31048E4C">
                  <w:r>
                    <w:t>75</w:t>
                  </w:r>
                  <w:r w:rsidR="00CC0CEB">
                    <w:t xml:space="preserve">% of our Year 4 cohort </w:t>
                  </w:r>
                  <w:r w:rsidR="00CA71B9">
                    <w:t>scored full marks in the MTC (Multiplication Tables Check)</w:t>
                  </w:r>
                  <w:r w:rsidR="00CC0CEB">
                    <w:t xml:space="preserve">, </w:t>
                  </w:r>
                  <w:r w:rsidR="00A3623C">
                    <w:t>79</w:t>
                  </w:r>
                  <w:r w:rsidR="00CC0CEB">
                    <w:t xml:space="preserve">% of the </w:t>
                  </w:r>
                  <w:r w:rsidR="00A3623C">
                    <w:t>those entitled to Pupil Premium funding</w:t>
                  </w:r>
                  <w:r w:rsidR="00CC0CEB">
                    <w:t xml:space="preserve"> passed the Y4 MTC. Those entitled to the funding did significantly better than those who are not.</w:t>
                  </w:r>
                </w:p>
                <w:p w:rsidR="00CC0CEB" w:rsidP="00CC0CEB" w:rsidRDefault="00CC0CEB" w14:paraId="62D9E132" w14:textId="01480E1B">
                  <w:pPr>
                    <w:rPr>
                      <w:b/>
                    </w:rPr>
                  </w:pPr>
                  <w:r w:rsidRPr="0003627F">
                    <w:rPr>
                      <w:b/>
                    </w:rPr>
                    <w:t>Year 6 End of Key stage Data 202</w:t>
                  </w:r>
                  <w:r w:rsidR="00DF611C">
                    <w:rPr>
                      <w:b/>
                    </w:rPr>
                    <w:t>5</w:t>
                  </w:r>
                </w:p>
                <w:p w:rsidRPr="00843147" w:rsidR="000A3EEA" w:rsidP="00CC0CEB" w:rsidRDefault="000A3EEA" w14:paraId="2F72EB8B" w14:textId="1ACE844F">
                  <w:pPr>
                    <w:rPr>
                      <w:bCs/>
                    </w:rPr>
                  </w:pPr>
                  <w:r w:rsidRPr="00843147">
                    <w:rPr>
                      <w:bCs/>
                    </w:rPr>
                    <w:t xml:space="preserve">Percentages of children achieving expected and above </w:t>
                  </w:r>
                </w:p>
                <w:tbl>
                  <w:tblPr>
                    <w:tblStyle w:val="TableGrid"/>
                    <w:tblW w:w="0" w:type="auto"/>
                    <w:tblLook w:val="04A0" w:firstRow="1" w:lastRow="0" w:firstColumn="1" w:lastColumn="0" w:noHBand="0" w:noVBand="1"/>
                  </w:tblPr>
                  <w:tblGrid>
                    <w:gridCol w:w="1569"/>
                    <w:gridCol w:w="2173"/>
                    <w:gridCol w:w="1981"/>
                    <w:gridCol w:w="2126"/>
                    <w:gridCol w:w="1844"/>
                  </w:tblGrid>
                  <w:tr w:rsidR="00CC0CEB" w:rsidTr="00D200C5" w14:paraId="1F2B81DB" w14:textId="77777777">
                    <w:trPr>
                      <w:trHeight w:val="564"/>
                    </w:trPr>
                    <w:tc>
                      <w:tcPr>
                        <w:tcW w:w="1569" w:type="dxa"/>
                      </w:tcPr>
                      <w:p w:rsidR="00CC0CEB" w:rsidP="00CC0CEB" w:rsidRDefault="00CC0CEB" w14:paraId="5BA1337F" w14:textId="77777777">
                        <w:pPr>
                          <w:spacing w:before="60"/>
                          <w:rPr>
                            <w:iCs/>
                            <w:lang w:eastAsia="en-US"/>
                          </w:rPr>
                        </w:pPr>
                      </w:p>
                    </w:tc>
                    <w:tc>
                      <w:tcPr>
                        <w:tcW w:w="2173" w:type="dxa"/>
                        <w:shd w:val="clear" w:color="auto" w:fill="C2D69B" w:themeFill="accent3" w:themeFillTint="99"/>
                      </w:tcPr>
                      <w:p w:rsidR="00CC0CEB" w:rsidP="00DF611C" w:rsidRDefault="00CC0CEB" w14:paraId="52418466" w14:textId="77777777">
                        <w:pPr>
                          <w:spacing w:before="60"/>
                          <w:jc w:val="center"/>
                          <w:rPr>
                            <w:iCs/>
                            <w:lang w:eastAsia="en-US"/>
                          </w:rPr>
                        </w:pPr>
                        <w:r>
                          <w:rPr>
                            <w:iCs/>
                            <w:lang w:eastAsia="en-US"/>
                          </w:rPr>
                          <w:t>READING</w:t>
                        </w:r>
                      </w:p>
                    </w:tc>
                    <w:tc>
                      <w:tcPr>
                        <w:tcW w:w="1981" w:type="dxa"/>
                        <w:shd w:val="clear" w:color="auto" w:fill="C2D69B" w:themeFill="accent3" w:themeFillTint="99"/>
                      </w:tcPr>
                      <w:p w:rsidR="00CC0CEB" w:rsidP="00DF611C" w:rsidRDefault="00CC0CEB" w14:paraId="36812129" w14:textId="77777777">
                        <w:pPr>
                          <w:spacing w:before="60"/>
                          <w:jc w:val="center"/>
                          <w:rPr>
                            <w:iCs/>
                            <w:lang w:eastAsia="en-US"/>
                          </w:rPr>
                        </w:pPr>
                        <w:r>
                          <w:rPr>
                            <w:iCs/>
                            <w:lang w:eastAsia="en-US"/>
                          </w:rPr>
                          <w:t>WRITING</w:t>
                        </w:r>
                      </w:p>
                    </w:tc>
                    <w:tc>
                      <w:tcPr>
                        <w:tcW w:w="2126" w:type="dxa"/>
                        <w:shd w:val="clear" w:color="auto" w:fill="C2D69B" w:themeFill="accent3" w:themeFillTint="99"/>
                      </w:tcPr>
                      <w:p w:rsidR="00CC0CEB" w:rsidP="00DF611C" w:rsidRDefault="00CC0CEB" w14:paraId="12E1EF26" w14:textId="77777777">
                        <w:pPr>
                          <w:spacing w:before="60"/>
                          <w:jc w:val="center"/>
                          <w:rPr>
                            <w:iCs/>
                            <w:lang w:eastAsia="en-US"/>
                          </w:rPr>
                        </w:pPr>
                        <w:r>
                          <w:rPr>
                            <w:iCs/>
                            <w:lang w:eastAsia="en-US"/>
                          </w:rPr>
                          <w:t>MATHEMATICS</w:t>
                        </w:r>
                      </w:p>
                    </w:tc>
                    <w:tc>
                      <w:tcPr>
                        <w:tcW w:w="1844" w:type="dxa"/>
                        <w:shd w:val="clear" w:color="auto" w:fill="C2D69B" w:themeFill="accent3" w:themeFillTint="99"/>
                      </w:tcPr>
                      <w:p w:rsidR="00CC0CEB" w:rsidP="00DF611C" w:rsidRDefault="00CC0CEB" w14:paraId="00A042B3" w14:textId="77777777">
                        <w:pPr>
                          <w:spacing w:before="60"/>
                          <w:jc w:val="center"/>
                          <w:rPr>
                            <w:iCs/>
                            <w:lang w:eastAsia="en-US"/>
                          </w:rPr>
                        </w:pPr>
                        <w:r>
                          <w:rPr>
                            <w:iCs/>
                            <w:lang w:eastAsia="en-US"/>
                          </w:rPr>
                          <w:t>RWM+</w:t>
                        </w:r>
                      </w:p>
                    </w:tc>
                  </w:tr>
                  <w:tr w:rsidR="00CC0CEB" w:rsidTr="00D200C5" w14:paraId="010D32DF" w14:textId="77777777">
                    <w:trPr>
                      <w:trHeight w:val="859"/>
                    </w:trPr>
                    <w:tc>
                      <w:tcPr>
                        <w:tcW w:w="1569" w:type="dxa"/>
                        <w:shd w:val="clear" w:color="auto" w:fill="C2D69B" w:themeFill="accent3" w:themeFillTint="99"/>
                      </w:tcPr>
                      <w:p w:rsidR="00CC0CEB" w:rsidP="00DF611C" w:rsidRDefault="00CC0CEB" w14:paraId="63216435" w14:textId="77777777">
                        <w:pPr>
                          <w:spacing w:before="60"/>
                          <w:jc w:val="center"/>
                          <w:rPr>
                            <w:iCs/>
                            <w:lang w:eastAsia="en-US"/>
                          </w:rPr>
                        </w:pPr>
                        <w:r>
                          <w:rPr>
                            <w:iCs/>
                            <w:lang w:eastAsia="en-US"/>
                          </w:rPr>
                          <w:t>PP FUNDING</w:t>
                        </w:r>
                      </w:p>
                    </w:tc>
                    <w:tc>
                      <w:tcPr>
                        <w:tcW w:w="2173" w:type="dxa"/>
                      </w:tcPr>
                      <w:p w:rsidR="00CC0CEB" w:rsidP="00CC0CEB" w:rsidRDefault="00630557" w14:paraId="130E2CB2" w14:textId="511EA78B">
                        <w:pPr>
                          <w:spacing w:before="60"/>
                          <w:jc w:val="center"/>
                          <w:rPr>
                            <w:iCs/>
                            <w:lang w:eastAsia="en-US"/>
                          </w:rPr>
                        </w:pPr>
                        <w:r>
                          <w:rPr>
                            <w:iCs/>
                            <w:lang w:eastAsia="en-US"/>
                          </w:rPr>
                          <w:t>82</w:t>
                        </w:r>
                        <w:r w:rsidR="00CC0CEB">
                          <w:rPr>
                            <w:iCs/>
                            <w:lang w:eastAsia="en-US"/>
                          </w:rPr>
                          <w:t>%</w:t>
                        </w:r>
                      </w:p>
                    </w:tc>
                    <w:tc>
                      <w:tcPr>
                        <w:tcW w:w="1981" w:type="dxa"/>
                      </w:tcPr>
                      <w:p w:rsidR="00CC0CEB" w:rsidP="00CC0CEB" w:rsidRDefault="00CC0CEB" w14:paraId="21D565F5" w14:textId="4701D756">
                        <w:pPr>
                          <w:spacing w:before="60"/>
                          <w:jc w:val="center"/>
                          <w:rPr>
                            <w:iCs/>
                            <w:lang w:eastAsia="en-US"/>
                          </w:rPr>
                        </w:pPr>
                        <w:r>
                          <w:rPr>
                            <w:iCs/>
                            <w:lang w:eastAsia="en-US"/>
                          </w:rPr>
                          <w:t>7</w:t>
                        </w:r>
                        <w:r w:rsidR="001B7833">
                          <w:rPr>
                            <w:iCs/>
                            <w:lang w:eastAsia="en-US"/>
                          </w:rPr>
                          <w:t>6</w:t>
                        </w:r>
                        <w:r>
                          <w:rPr>
                            <w:iCs/>
                            <w:lang w:eastAsia="en-US"/>
                          </w:rPr>
                          <w:t>%</w:t>
                        </w:r>
                      </w:p>
                    </w:tc>
                    <w:tc>
                      <w:tcPr>
                        <w:tcW w:w="2126" w:type="dxa"/>
                      </w:tcPr>
                      <w:p w:rsidR="00CC0CEB" w:rsidP="00CC0CEB" w:rsidRDefault="00CC0CEB" w14:paraId="12B531D0" w14:textId="48F82292">
                        <w:pPr>
                          <w:spacing w:before="60"/>
                          <w:jc w:val="center"/>
                          <w:rPr>
                            <w:iCs/>
                            <w:lang w:eastAsia="en-US"/>
                          </w:rPr>
                        </w:pPr>
                        <w:r>
                          <w:rPr>
                            <w:iCs/>
                            <w:lang w:eastAsia="en-US"/>
                          </w:rPr>
                          <w:t>7</w:t>
                        </w:r>
                        <w:r w:rsidR="001B7833">
                          <w:rPr>
                            <w:iCs/>
                            <w:lang w:eastAsia="en-US"/>
                          </w:rPr>
                          <w:t>6</w:t>
                        </w:r>
                        <w:r>
                          <w:rPr>
                            <w:iCs/>
                            <w:lang w:eastAsia="en-US"/>
                          </w:rPr>
                          <w:t>%</w:t>
                        </w:r>
                      </w:p>
                    </w:tc>
                    <w:tc>
                      <w:tcPr>
                        <w:tcW w:w="1844" w:type="dxa"/>
                      </w:tcPr>
                      <w:p w:rsidR="00CC0CEB" w:rsidP="00CC0CEB" w:rsidRDefault="001B7833" w14:paraId="4C44A8D1" w14:textId="68F47711">
                        <w:pPr>
                          <w:spacing w:before="60"/>
                          <w:jc w:val="center"/>
                          <w:rPr>
                            <w:iCs/>
                            <w:lang w:eastAsia="en-US"/>
                          </w:rPr>
                        </w:pPr>
                        <w:r>
                          <w:rPr>
                            <w:iCs/>
                            <w:lang w:eastAsia="en-US"/>
                          </w:rPr>
                          <w:t>7</w:t>
                        </w:r>
                        <w:r w:rsidR="00376E1D">
                          <w:rPr>
                            <w:iCs/>
                            <w:lang w:eastAsia="en-US"/>
                          </w:rPr>
                          <w:t>1</w:t>
                        </w:r>
                        <w:r w:rsidR="00CC0CEB">
                          <w:rPr>
                            <w:iCs/>
                            <w:lang w:eastAsia="en-US"/>
                          </w:rPr>
                          <w:t>%</w:t>
                        </w:r>
                      </w:p>
                    </w:tc>
                  </w:tr>
                  <w:tr w:rsidR="00CC0CEB" w:rsidTr="00D200C5" w14:paraId="4F3BE3F6" w14:textId="77777777">
                    <w:trPr>
                      <w:trHeight w:val="782"/>
                    </w:trPr>
                    <w:tc>
                      <w:tcPr>
                        <w:tcW w:w="1569" w:type="dxa"/>
                        <w:shd w:val="clear" w:color="auto" w:fill="C2D69B" w:themeFill="accent3" w:themeFillTint="99"/>
                      </w:tcPr>
                      <w:p w:rsidR="00CC0CEB" w:rsidP="00DF611C" w:rsidRDefault="00CC0CEB" w14:paraId="7265396D" w14:textId="77777777">
                        <w:pPr>
                          <w:spacing w:before="60"/>
                          <w:jc w:val="center"/>
                          <w:rPr>
                            <w:iCs/>
                            <w:lang w:eastAsia="en-US"/>
                          </w:rPr>
                        </w:pPr>
                        <w:r>
                          <w:rPr>
                            <w:iCs/>
                            <w:lang w:eastAsia="en-US"/>
                          </w:rPr>
                          <w:t>NON PP FUNDING</w:t>
                        </w:r>
                      </w:p>
                    </w:tc>
                    <w:tc>
                      <w:tcPr>
                        <w:tcW w:w="2173" w:type="dxa"/>
                      </w:tcPr>
                      <w:p w:rsidR="00CC0CEB" w:rsidP="00CC0CEB" w:rsidRDefault="00CC0CEB" w14:paraId="3058EF14" w14:textId="6A2D933A">
                        <w:pPr>
                          <w:spacing w:before="60"/>
                          <w:jc w:val="center"/>
                          <w:rPr>
                            <w:iCs/>
                            <w:lang w:eastAsia="en-US"/>
                          </w:rPr>
                        </w:pPr>
                        <w:r>
                          <w:rPr>
                            <w:iCs/>
                            <w:lang w:eastAsia="en-US"/>
                          </w:rPr>
                          <w:t>8</w:t>
                        </w:r>
                        <w:r w:rsidR="00376E1D">
                          <w:rPr>
                            <w:iCs/>
                            <w:lang w:eastAsia="en-US"/>
                          </w:rPr>
                          <w:t>1</w:t>
                        </w:r>
                        <w:r>
                          <w:rPr>
                            <w:iCs/>
                            <w:lang w:eastAsia="en-US"/>
                          </w:rPr>
                          <w:t>%</w:t>
                        </w:r>
                      </w:p>
                    </w:tc>
                    <w:tc>
                      <w:tcPr>
                        <w:tcW w:w="1981" w:type="dxa"/>
                      </w:tcPr>
                      <w:p w:rsidR="00CC0CEB" w:rsidP="00CC0CEB" w:rsidRDefault="00CC0CEB" w14:paraId="5ED8A79B" w14:textId="0750D70F">
                        <w:pPr>
                          <w:spacing w:before="60"/>
                          <w:jc w:val="center"/>
                          <w:rPr>
                            <w:iCs/>
                            <w:lang w:eastAsia="en-US"/>
                          </w:rPr>
                        </w:pPr>
                        <w:r>
                          <w:rPr>
                            <w:iCs/>
                            <w:lang w:eastAsia="en-US"/>
                          </w:rPr>
                          <w:t>8</w:t>
                        </w:r>
                        <w:r w:rsidR="004B145A">
                          <w:rPr>
                            <w:iCs/>
                            <w:lang w:eastAsia="en-US"/>
                          </w:rPr>
                          <w:t>2</w:t>
                        </w:r>
                        <w:r>
                          <w:rPr>
                            <w:iCs/>
                            <w:lang w:eastAsia="en-US"/>
                          </w:rPr>
                          <w:t>%</w:t>
                        </w:r>
                      </w:p>
                    </w:tc>
                    <w:tc>
                      <w:tcPr>
                        <w:tcW w:w="2126" w:type="dxa"/>
                      </w:tcPr>
                      <w:p w:rsidR="00CC0CEB" w:rsidP="00CC0CEB" w:rsidRDefault="004B145A" w14:paraId="38A2E13E" w14:textId="073BE54A">
                        <w:pPr>
                          <w:spacing w:before="60"/>
                          <w:jc w:val="center"/>
                          <w:rPr>
                            <w:iCs/>
                            <w:lang w:eastAsia="en-US"/>
                          </w:rPr>
                        </w:pPr>
                        <w:r>
                          <w:rPr>
                            <w:iCs/>
                            <w:lang w:eastAsia="en-US"/>
                          </w:rPr>
                          <w:t>89</w:t>
                        </w:r>
                        <w:r w:rsidR="00CC0CEB">
                          <w:rPr>
                            <w:iCs/>
                            <w:lang w:eastAsia="en-US"/>
                          </w:rPr>
                          <w:t>%</w:t>
                        </w:r>
                      </w:p>
                    </w:tc>
                    <w:tc>
                      <w:tcPr>
                        <w:tcW w:w="1844" w:type="dxa"/>
                      </w:tcPr>
                      <w:p w:rsidR="00CC0CEB" w:rsidP="00CC0CEB" w:rsidRDefault="004B145A" w14:paraId="5BA7CBA2" w14:textId="2940D3CF">
                        <w:pPr>
                          <w:spacing w:before="60"/>
                          <w:jc w:val="center"/>
                          <w:rPr>
                            <w:iCs/>
                            <w:lang w:eastAsia="en-US"/>
                          </w:rPr>
                        </w:pPr>
                        <w:r>
                          <w:rPr>
                            <w:iCs/>
                            <w:lang w:eastAsia="en-US"/>
                          </w:rPr>
                          <w:t>76</w:t>
                        </w:r>
                        <w:r w:rsidR="00CC0CEB">
                          <w:rPr>
                            <w:iCs/>
                            <w:lang w:eastAsia="en-US"/>
                          </w:rPr>
                          <w:t>%</w:t>
                        </w:r>
                      </w:p>
                    </w:tc>
                  </w:tr>
                </w:tbl>
                <w:p w:rsidR="00CC0CEB" w:rsidP="00CC0CEB" w:rsidRDefault="00CC0CEB" w14:paraId="47A5339A" w14:textId="77777777"/>
                <w:p w:rsidR="00CC0CEB" w:rsidP="00CC0CEB" w:rsidRDefault="000A3EEA" w14:paraId="0FFBBD9E" w14:textId="0953FEE0">
                  <w:r w:rsidRPr="000A3EEA">
                    <w:rPr>
                      <w:noProof/>
                    </w:rPr>
                    <w:drawing>
                      <wp:inline distT="0" distB="0" distL="0" distR="0" wp14:anchorId="455A7D30" wp14:editId="49C7C1D9">
                        <wp:extent cx="6249670" cy="1614115"/>
                        <wp:effectExtent l="0" t="0" r="0" b="5715"/>
                        <wp:docPr id="1892581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81819" name=""/>
                                <pic:cNvPicPr/>
                              </pic:nvPicPr>
                              <pic:blipFill>
                                <a:blip r:embed="rId9"/>
                                <a:stretch>
                                  <a:fillRect/>
                                </a:stretch>
                              </pic:blipFill>
                              <pic:spPr>
                                <a:xfrm>
                                  <a:off x="0" y="0"/>
                                  <a:ext cx="6277081" cy="1621195"/>
                                </a:xfrm>
                                <a:prstGeom prst="rect">
                                  <a:avLst/>
                                </a:prstGeom>
                              </pic:spPr>
                            </pic:pic>
                          </a:graphicData>
                        </a:graphic>
                      </wp:inline>
                    </w:drawing>
                  </w:r>
                </w:p>
                <w:p w:rsidRPr="00894A88" w:rsidR="00CC0CEB" w:rsidP="00CC0CEB" w:rsidRDefault="00CC0CEB" w14:paraId="47A6193C" w14:textId="48B5405D">
                  <w:pPr>
                    <w:rPr>
                      <w:b/>
                    </w:rPr>
                  </w:pPr>
                  <w:r w:rsidRPr="00894A88">
                    <w:rPr>
                      <w:b/>
                    </w:rPr>
                    <w:t>Whole School Data 202</w:t>
                  </w:r>
                  <w:r w:rsidR="00936457">
                    <w:rPr>
                      <w:b/>
                    </w:rPr>
                    <w:t>4</w:t>
                  </w:r>
                  <w:r w:rsidRPr="00894A88">
                    <w:rPr>
                      <w:b/>
                    </w:rPr>
                    <w:t>-202</w:t>
                  </w:r>
                  <w:r w:rsidR="00936457">
                    <w:rPr>
                      <w:b/>
                    </w:rPr>
                    <w:t>5</w:t>
                  </w:r>
                  <w:r>
                    <w:rPr>
                      <w:b/>
                    </w:rPr>
                    <w:t xml:space="preserve"> (disadvantaged)</w:t>
                  </w:r>
                </w:p>
                <w:p w:rsidR="00CC0CEB" w:rsidP="00CC0CEB" w:rsidRDefault="00936457" w14:paraId="4A22ED89" w14:textId="09B95B7D">
                  <w:r w:rsidRPr="00936457">
                    <w:rPr>
                      <w:noProof/>
                    </w:rPr>
                    <w:drawing>
                      <wp:inline distT="0" distB="0" distL="0" distR="0" wp14:anchorId="26F7871B" wp14:editId="0106CF3C">
                        <wp:extent cx="6029960" cy="2013585"/>
                        <wp:effectExtent l="0" t="0" r="8890" b="5715"/>
                        <wp:docPr id="1447513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13259" name=""/>
                                <pic:cNvPicPr/>
                              </pic:nvPicPr>
                              <pic:blipFill>
                                <a:blip r:embed="rId10"/>
                                <a:stretch>
                                  <a:fillRect/>
                                </a:stretch>
                              </pic:blipFill>
                              <pic:spPr>
                                <a:xfrm>
                                  <a:off x="0" y="0"/>
                                  <a:ext cx="6029960" cy="2013585"/>
                                </a:xfrm>
                                <a:prstGeom prst="rect">
                                  <a:avLst/>
                                </a:prstGeom>
                              </pic:spPr>
                            </pic:pic>
                          </a:graphicData>
                        </a:graphic>
                      </wp:inline>
                    </w:drawing>
                  </w:r>
                </w:p>
                <w:p w:rsidRPr="00894A88" w:rsidR="00CC0CEB" w:rsidP="00CC0CEB" w:rsidRDefault="00CC0CEB" w14:paraId="38FF7956" w14:textId="7DBCEFFF">
                  <w:pPr>
                    <w:rPr>
                      <w:b/>
                    </w:rPr>
                  </w:pPr>
                  <w:r w:rsidRPr="00894A88">
                    <w:rPr>
                      <w:b/>
                    </w:rPr>
                    <w:t>Whole School Progress Data 202</w:t>
                  </w:r>
                  <w:r w:rsidR="00936457">
                    <w:rPr>
                      <w:b/>
                    </w:rPr>
                    <w:t>4</w:t>
                  </w:r>
                  <w:r w:rsidRPr="00894A88">
                    <w:rPr>
                      <w:b/>
                    </w:rPr>
                    <w:t>-202</w:t>
                  </w:r>
                  <w:r w:rsidR="00936457">
                    <w:rPr>
                      <w:b/>
                    </w:rPr>
                    <w:t>5</w:t>
                  </w:r>
                  <w:r>
                    <w:rPr>
                      <w:b/>
                    </w:rPr>
                    <w:t xml:space="preserve"> (disadvantaged)</w:t>
                  </w:r>
                </w:p>
                <w:p w:rsidR="00CC0CEB" w:rsidP="00CC0CEB" w:rsidRDefault="00CC0CEB" w14:paraId="3BDEA68B" w14:textId="77777777">
                  <w:r>
                    <w:rPr>
                      <w:iCs/>
                      <w:lang w:eastAsia="en-US"/>
                    </w:rPr>
                    <w:t>Below are progress measures for children entitled to Pupil Premium funding, largely children are making expected or above expected progress for reading, writing and mathematics.</w:t>
                  </w:r>
                </w:p>
                <w:p w:rsidR="00CC0CEB" w:rsidP="00CC0CEB" w:rsidRDefault="00BD095A" w14:paraId="63289604" w14:textId="76CDF802">
                  <w:r w:rsidRPr="00BD095A">
                    <w:rPr>
                      <w:noProof/>
                    </w:rPr>
                    <w:lastRenderedPageBreak/>
                    <w:drawing>
                      <wp:inline distT="0" distB="0" distL="0" distR="0" wp14:anchorId="22EB2410" wp14:editId="4F349D8B">
                        <wp:extent cx="6311900" cy="882595"/>
                        <wp:effectExtent l="0" t="0" r="0" b="0"/>
                        <wp:docPr id="94073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3570" name=""/>
                                <pic:cNvPicPr/>
                              </pic:nvPicPr>
                              <pic:blipFill>
                                <a:blip r:embed="rId11"/>
                                <a:stretch>
                                  <a:fillRect/>
                                </a:stretch>
                              </pic:blipFill>
                              <pic:spPr>
                                <a:xfrm>
                                  <a:off x="0" y="0"/>
                                  <a:ext cx="6380120" cy="892134"/>
                                </a:xfrm>
                                <a:prstGeom prst="rect">
                                  <a:avLst/>
                                </a:prstGeom>
                              </pic:spPr>
                            </pic:pic>
                          </a:graphicData>
                        </a:graphic>
                      </wp:inline>
                    </w:drawing>
                  </w:r>
                </w:p>
              </w:tc>
            </w:tr>
          </w:tbl>
          <w:p w:rsidR="00CC0CEB" w:rsidP="00CC0CEB" w:rsidRDefault="00CC0CEB" w14:paraId="2BB0E483" w14:textId="77777777">
            <w:pPr>
              <w:pStyle w:val="Heading2"/>
            </w:pPr>
            <w:r>
              <w:lastRenderedPageBreak/>
              <w:t>Externally provided programmes</w:t>
            </w:r>
          </w:p>
          <w:p w:rsidR="00CC0CEB" w:rsidP="00CC0CEB" w:rsidRDefault="00CC0CEB" w14:paraId="3C3B3DF9" w14:textId="77777777">
            <w:pPr>
              <w:rPr>
                <w:i/>
                <w:iCs/>
              </w:rPr>
            </w:pPr>
            <w:r w:rsidRPr="07FFD3D3">
              <w:rPr>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5155"/>
              <w:gridCol w:w="5001"/>
            </w:tblGrid>
            <w:tr w:rsidR="00CC0CEB" w:rsidTr="008B331A" w14:paraId="7898B980"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CC0CEB" w:rsidP="00CC0CEB" w:rsidRDefault="00CC0CEB" w14:paraId="47C53EC4"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CC0CEB" w:rsidP="00CC0CEB" w:rsidRDefault="00CC0CEB" w14:paraId="7505BFB7" w14:textId="77777777">
                  <w:pPr>
                    <w:pStyle w:val="TableHeader"/>
                    <w:jc w:val="left"/>
                  </w:pPr>
                  <w:r>
                    <w:t>Provider</w:t>
                  </w:r>
                </w:p>
              </w:tc>
            </w:tr>
            <w:tr w:rsidR="00CC0CEB" w:rsidTr="008B331A" w14:paraId="12B38FC4"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1611649B" w14:textId="77777777">
                  <w:pPr>
                    <w:pStyle w:val="TableRow"/>
                  </w:pPr>
                  <w:r>
                    <w:t>ELS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344D4096" w14:textId="77777777">
                  <w:pPr>
                    <w:pStyle w:val="TableRowCentered"/>
                    <w:jc w:val="left"/>
                  </w:pPr>
                  <w:r>
                    <w:t>CPOMS</w:t>
                  </w:r>
                </w:p>
              </w:tc>
            </w:tr>
            <w:tr w:rsidR="00CC0CEB" w:rsidTr="008B331A" w14:paraId="74716CE3"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0D9EFA71" w14:textId="77777777">
                  <w:pPr>
                    <w:pStyle w:val="TableRow"/>
                  </w:pPr>
                  <w:r>
                    <w:t>WELCOM</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26FA8949" w14:textId="77777777">
                  <w:pPr>
                    <w:pStyle w:val="TableRowCentered"/>
                    <w:jc w:val="left"/>
                  </w:pPr>
                  <w:r>
                    <w:t>NELLI</w:t>
                  </w:r>
                </w:p>
              </w:tc>
            </w:tr>
            <w:tr w:rsidR="00CC0CEB" w:rsidTr="008B331A" w14:paraId="601E8AD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3E6B4996" w14:textId="77777777">
                  <w:pPr>
                    <w:pStyle w:val="TableRow"/>
                  </w:pPr>
                  <w:r>
                    <w:t>TIMESTABLES ROCKSTARS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34F2C28E" w14:textId="77777777">
                  <w:pPr>
                    <w:pStyle w:val="TableRowCentered"/>
                    <w:jc w:val="left"/>
                  </w:pPr>
                  <w:r>
                    <w:t>LEXIA</w:t>
                  </w:r>
                </w:p>
              </w:tc>
            </w:tr>
            <w:tr w:rsidR="00CC0CEB" w:rsidTr="008B331A" w14:paraId="7E292FEA"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0EC232DB" w14:textId="77777777">
                  <w:pPr>
                    <w:pStyle w:val="TableRow"/>
                  </w:pPr>
                  <w:r>
                    <w:t>YOGA BEARS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4B25A49E" w14:textId="77777777">
                  <w:pPr>
                    <w:pStyle w:val="TableRowCentered"/>
                    <w:jc w:val="left"/>
                  </w:pPr>
                  <w:r>
                    <w:t>PROVISION MAP</w:t>
                  </w:r>
                </w:p>
              </w:tc>
            </w:tr>
            <w:tr w:rsidR="00CC0CEB" w:rsidTr="008B331A" w14:paraId="47D5A37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0D202124" w14:textId="77777777">
                  <w:pPr>
                    <w:pStyle w:val="TableRow"/>
                  </w:pPr>
                  <w:r>
                    <w:t>READ TO WRITE</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24A422BE" w14:textId="77777777">
                  <w:pPr>
                    <w:pStyle w:val="TableRowCentered"/>
                    <w:jc w:val="left"/>
                  </w:pPr>
                  <w:r>
                    <w:t>WHITE ROSE MATHS</w:t>
                  </w:r>
                </w:p>
              </w:tc>
            </w:tr>
            <w:tr w:rsidR="00CC0CEB" w:rsidTr="008B331A" w14:paraId="664A1A9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69EE1C1F" w14:textId="77777777">
                  <w:pPr>
                    <w:pStyle w:val="TableRow"/>
                  </w:pPr>
                  <w:r>
                    <w:t>PSHE ASSOCIATION</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6EB9BB0F" w14:textId="77777777">
                  <w:pPr>
                    <w:pStyle w:val="TableRowCentered"/>
                    <w:jc w:val="left"/>
                  </w:pPr>
                </w:p>
              </w:tc>
            </w:tr>
            <w:tr w:rsidR="00CC0CEB" w:rsidTr="008B331A" w14:paraId="0C1A106A"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43EA3113"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0CEB" w:rsidP="00CC0CEB" w:rsidRDefault="00CC0CEB" w14:paraId="0A697E2C" w14:textId="77777777">
                  <w:pPr>
                    <w:pStyle w:val="TableRowCentered"/>
                    <w:jc w:val="left"/>
                  </w:pPr>
                </w:p>
              </w:tc>
            </w:tr>
          </w:tbl>
          <w:p w:rsidR="0024622C" w:rsidP="001671ED" w:rsidRDefault="0024622C" w14:paraId="70A0F609" w14:textId="004AFA26">
            <w:pPr>
              <w:spacing w:before="60"/>
              <w:rPr>
                <w:iCs/>
                <w:lang w:eastAsia="en-US"/>
              </w:rPr>
            </w:pPr>
          </w:p>
          <w:p w:rsidR="00474F4E" w:rsidP="00A74779" w:rsidRDefault="00474F4E" w14:paraId="47EF3A85" w14:textId="77777777"/>
          <w:p w:rsidR="00474F4E" w:rsidP="00A74779" w:rsidRDefault="00474F4E" w14:paraId="74ADF0A5" w14:textId="77777777"/>
          <w:p w:rsidR="00474F4E" w:rsidP="00A74779" w:rsidRDefault="00474F4E" w14:paraId="5023926C" w14:textId="10C16951"/>
        </w:tc>
      </w:tr>
    </w:tbl>
    <w:p w:rsidR="0008384B" w:rsidP="0008384B" w:rsidRDefault="0008384B" w14:paraId="188578FB" w14:textId="47A5C137"/>
    <w:p w:rsidR="0008384B" w:rsidP="0008384B" w:rsidRDefault="0008384B" w14:paraId="497C2CDD" w14:textId="5EF7F09D"/>
    <w:bookmarkEnd w:id="14"/>
    <w:bookmarkEnd w:id="15"/>
    <w:bookmarkEnd w:id="16"/>
    <w:p w:rsidR="00E66558" w:rsidRDefault="00E66558" w14:paraId="2A7D5564" w14:textId="58753BDE"/>
    <w:sectPr w:rsidR="00E66558">
      <w:headerReference w:type="default" r:id="rId12"/>
      <w:footerReference w:type="default" r:id="rId13"/>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8EB" w:rsidRDefault="003F18EB" w14:paraId="6FDE7906" w14:textId="77777777">
      <w:pPr>
        <w:spacing w:after="0" w:line="240" w:lineRule="auto"/>
      </w:pPr>
      <w:r>
        <w:separator/>
      </w:r>
    </w:p>
  </w:endnote>
  <w:endnote w:type="continuationSeparator" w:id="0">
    <w:p w:rsidR="003F18EB" w:rsidRDefault="003F18EB" w14:paraId="56EFE2BB" w14:textId="77777777">
      <w:pPr>
        <w:spacing w:after="0" w:line="240" w:lineRule="auto"/>
      </w:pPr>
      <w:r>
        <w:continuationSeparator/>
      </w:r>
    </w:p>
  </w:endnote>
  <w:endnote w:type="continuationNotice" w:id="1">
    <w:p w:rsidR="003F18EB" w:rsidRDefault="003F18EB" w14:paraId="051C09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9D71E8" w14:paraId="2A7D54BE" w14:textId="39BDC692">
    <w:pPr>
      <w:pStyle w:val="Footer"/>
      <w:ind w:firstLine="4513"/>
    </w:pPr>
    <w:r>
      <w:fldChar w:fldCharType="begin"/>
    </w:r>
    <w:r>
      <w:instrText xml:space="preserve"> PAGE </w:instrText>
    </w:r>
    <w:r>
      <w:fldChar w:fldCharType="separate"/>
    </w:r>
    <w:r w:rsidR="00A827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8EB" w:rsidRDefault="003F18EB" w14:paraId="25E2FCFB" w14:textId="77777777">
      <w:pPr>
        <w:spacing w:after="0" w:line="240" w:lineRule="auto"/>
      </w:pPr>
      <w:r>
        <w:separator/>
      </w:r>
    </w:p>
  </w:footnote>
  <w:footnote w:type="continuationSeparator" w:id="0">
    <w:p w:rsidR="003F18EB" w:rsidRDefault="003F18EB" w14:paraId="4D6B5BBA" w14:textId="77777777">
      <w:pPr>
        <w:spacing w:after="0" w:line="240" w:lineRule="auto"/>
      </w:pPr>
      <w:r>
        <w:continuationSeparator/>
      </w:r>
    </w:p>
  </w:footnote>
  <w:footnote w:type="continuationNotice" w:id="1">
    <w:p w:rsidR="003F18EB" w:rsidRDefault="003F18EB" w14:paraId="765B44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6AD1"/>
    <w:multiLevelType w:val="hybridMultilevel"/>
    <w:tmpl w:val="3F507242"/>
    <w:lvl w:ilvl="0" w:tplc="D1B6E208">
      <w:start w:val="1"/>
      <w:numFmt w:val="bullet"/>
      <w:lvlText w:val=""/>
      <w:lvlJc w:val="left"/>
      <w:pPr>
        <w:ind w:left="777" w:hanging="360"/>
      </w:pPr>
      <w:rPr>
        <w:rFonts w:hint="default" w:ascii="Symbol" w:hAnsi="Symbol"/>
        <w:color w:val="auto"/>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0A210A"/>
    <w:multiLevelType w:val="hybridMultilevel"/>
    <w:tmpl w:val="4692CDF8"/>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BF815F6"/>
    <w:multiLevelType w:val="hybridMultilevel"/>
    <w:tmpl w:val="6068D97A"/>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FC0928"/>
    <w:multiLevelType w:val="hybridMultilevel"/>
    <w:tmpl w:val="D7FEA6EA"/>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0" w15:restartNumberingAfterBreak="0">
    <w:nsid w:val="36910C31"/>
    <w:multiLevelType w:val="hybridMultilevel"/>
    <w:tmpl w:val="BAE8C98A"/>
    <w:lvl w:ilvl="0" w:tplc="D1B6E208">
      <w:start w:val="1"/>
      <w:numFmt w:val="bullet"/>
      <w:lvlText w:val=""/>
      <w:lvlJc w:val="left"/>
      <w:pPr>
        <w:ind w:left="777" w:hanging="360"/>
      </w:pPr>
      <w:rPr>
        <w:rFonts w:hint="default" w:ascii="Symbol" w:hAnsi="Symbol"/>
        <w:color w:val="auto"/>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1" w15:restartNumberingAfterBreak="0">
    <w:nsid w:val="3AB5679E"/>
    <w:multiLevelType w:val="hybridMultilevel"/>
    <w:tmpl w:val="EA6A9152"/>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05F2C04"/>
    <w:multiLevelType w:val="hybridMultilevel"/>
    <w:tmpl w:val="AEC09312"/>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4" w15:restartNumberingAfterBreak="0">
    <w:nsid w:val="43723F26"/>
    <w:multiLevelType w:val="hybridMultilevel"/>
    <w:tmpl w:val="A00803F4"/>
    <w:lvl w:ilvl="0" w:tplc="D1B6E208">
      <w:start w:val="1"/>
      <w:numFmt w:val="bullet"/>
      <w:lvlText w:val=""/>
      <w:lvlJc w:val="left"/>
      <w:pPr>
        <w:ind w:left="777" w:hanging="360"/>
      </w:pPr>
      <w:rPr>
        <w:rFonts w:hint="default" w:ascii="Symbol" w:hAnsi="Symbol"/>
        <w:color w:val="auto"/>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5" w15:restartNumberingAfterBreak="0">
    <w:nsid w:val="43CE0470"/>
    <w:multiLevelType w:val="hybridMultilevel"/>
    <w:tmpl w:val="CFA68A82"/>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6" w15:restartNumberingAfterBreak="0">
    <w:nsid w:val="4E596065"/>
    <w:multiLevelType w:val="hybridMultilevel"/>
    <w:tmpl w:val="B238A5C8"/>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7" w15:restartNumberingAfterBreak="0">
    <w:nsid w:val="50495884"/>
    <w:multiLevelType w:val="hybridMultilevel"/>
    <w:tmpl w:val="13E0D68A"/>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8" w15:restartNumberingAfterBreak="0">
    <w:nsid w:val="57D95D7C"/>
    <w:multiLevelType w:val="hybridMultilevel"/>
    <w:tmpl w:val="314A4FD6"/>
    <w:lvl w:ilvl="0" w:tplc="D1B6E208">
      <w:start w:val="1"/>
      <w:numFmt w:val="bullet"/>
      <w:lvlText w:val=""/>
      <w:lvlJc w:val="left"/>
      <w:pPr>
        <w:ind w:left="777" w:hanging="360"/>
      </w:pPr>
      <w:rPr>
        <w:rFonts w:hint="default" w:ascii="Symbol" w:hAnsi="Symbol"/>
        <w:color w:val="auto"/>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9" w15:restartNumberingAfterBreak="0">
    <w:nsid w:val="5AD26892"/>
    <w:multiLevelType w:val="hybridMultilevel"/>
    <w:tmpl w:val="D62E58AA"/>
    <w:lvl w:ilvl="0" w:tplc="D1B6E20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2B2B74"/>
    <w:multiLevelType w:val="hybridMultilevel"/>
    <w:tmpl w:val="8B0AA326"/>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7205AD"/>
    <w:multiLevelType w:val="hybridMultilevel"/>
    <w:tmpl w:val="DC821444"/>
    <w:lvl w:ilvl="0" w:tplc="D1B6E20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48724361">
    <w:abstractNumId w:val="5"/>
  </w:num>
  <w:num w:numId="2" w16cid:durableId="1845633250">
    <w:abstractNumId w:val="2"/>
  </w:num>
  <w:num w:numId="3" w16cid:durableId="351611038">
    <w:abstractNumId w:val="6"/>
  </w:num>
  <w:num w:numId="4" w16cid:durableId="1465653831">
    <w:abstractNumId w:val="8"/>
  </w:num>
  <w:num w:numId="5" w16cid:durableId="2099251993">
    <w:abstractNumId w:val="1"/>
  </w:num>
  <w:num w:numId="6" w16cid:durableId="847596671">
    <w:abstractNumId w:val="12"/>
  </w:num>
  <w:num w:numId="7" w16cid:durableId="1482848407">
    <w:abstractNumId w:val="23"/>
  </w:num>
  <w:num w:numId="8" w16cid:durableId="1880897372">
    <w:abstractNumId w:val="27"/>
  </w:num>
  <w:num w:numId="9" w16cid:durableId="1813592101">
    <w:abstractNumId w:val="25"/>
  </w:num>
  <w:num w:numId="10" w16cid:durableId="1166551110">
    <w:abstractNumId w:val="24"/>
  </w:num>
  <w:num w:numId="11" w16cid:durableId="320744049">
    <w:abstractNumId w:val="3"/>
  </w:num>
  <w:num w:numId="12" w16cid:durableId="369886119">
    <w:abstractNumId w:val="26"/>
  </w:num>
  <w:num w:numId="13" w16cid:durableId="1564440729">
    <w:abstractNumId w:val="21"/>
  </w:num>
  <w:num w:numId="14" w16cid:durableId="2059014183">
    <w:abstractNumId w:val="19"/>
  </w:num>
  <w:num w:numId="15" w16cid:durableId="1299644961">
    <w:abstractNumId w:val="11"/>
  </w:num>
  <w:num w:numId="16" w16cid:durableId="895966525">
    <w:abstractNumId w:val="15"/>
  </w:num>
  <w:num w:numId="17" w16cid:durableId="2057660114">
    <w:abstractNumId w:val="4"/>
  </w:num>
  <w:num w:numId="18" w16cid:durableId="717096443">
    <w:abstractNumId w:val="13"/>
  </w:num>
  <w:num w:numId="19" w16cid:durableId="639310470">
    <w:abstractNumId w:val="7"/>
  </w:num>
  <w:num w:numId="20" w16cid:durableId="866211903">
    <w:abstractNumId w:val="18"/>
  </w:num>
  <w:num w:numId="21" w16cid:durableId="1870297639">
    <w:abstractNumId w:val="14"/>
  </w:num>
  <w:num w:numId="22" w16cid:durableId="1972243131">
    <w:abstractNumId w:val="0"/>
  </w:num>
  <w:num w:numId="23" w16cid:durableId="1954825712">
    <w:abstractNumId w:val="22"/>
  </w:num>
  <w:num w:numId="24" w16cid:durableId="1857846145">
    <w:abstractNumId w:val="10"/>
  </w:num>
  <w:num w:numId="25" w16cid:durableId="570190000">
    <w:abstractNumId w:val="17"/>
  </w:num>
  <w:num w:numId="26" w16cid:durableId="226035242">
    <w:abstractNumId w:val="16"/>
  </w:num>
  <w:num w:numId="27" w16cid:durableId="1504472863">
    <w:abstractNumId w:val="20"/>
  </w:num>
  <w:num w:numId="28" w16cid:durableId="1383752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46C4"/>
    <w:rsid w:val="00023729"/>
    <w:rsid w:val="000243B4"/>
    <w:rsid w:val="00027148"/>
    <w:rsid w:val="000452EB"/>
    <w:rsid w:val="000463AE"/>
    <w:rsid w:val="000507A3"/>
    <w:rsid w:val="00060A62"/>
    <w:rsid w:val="00060C35"/>
    <w:rsid w:val="000638FA"/>
    <w:rsid w:val="00064366"/>
    <w:rsid w:val="00066B73"/>
    <w:rsid w:val="00071481"/>
    <w:rsid w:val="00075FAE"/>
    <w:rsid w:val="00082F38"/>
    <w:rsid w:val="0008384B"/>
    <w:rsid w:val="000851E7"/>
    <w:rsid w:val="00086D4C"/>
    <w:rsid w:val="000929EC"/>
    <w:rsid w:val="00093CDE"/>
    <w:rsid w:val="000A3EEA"/>
    <w:rsid w:val="000A6379"/>
    <w:rsid w:val="000B600D"/>
    <w:rsid w:val="000B747C"/>
    <w:rsid w:val="000D22B0"/>
    <w:rsid w:val="000D35C9"/>
    <w:rsid w:val="000D520C"/>
    <w:rsid w:val="000D57B2"/>
    <w:rsid w:val="000D6596"/>
    <w:rsid w:val="000E08A0"/>
    <w:rsid w:val="000E6DF0"/>
    <w:rsid w:val="001037CB"/>
    <w:rsid w:val="0010629E"/>
    <w:rsid w:val="00115538"/>
    <w:rsid w:val="00120AB1"/>
    <w:rsid w:val="00123A7F"/>
    <w:rsid w:val="001278D0"/>
    <w:rsid w:val="00127F72"/>
    <w:rsid w:val="00140646"/>
    <w:rsid w:val="00145411"/>
    <w:rsid w:val="00147A4B"/>
    <w:rsid w:val="00164EA1"/>
    <w:rsid w:val="001663E8"/>
    <w:rsid w:val="001671ED"/>
    <w:rsid w:val="001727FA"/>
    <w:rsid w:val="00173D4C"/>
    <w:rsid w:val="00176C33"/>
    <w:rsid w:val="00183218"/>
    <w:rsid w:val="001852E0"/>
    <w:rsid w:val="00185988"/>
    <w:rsid w:val="001873B6"/>
    <w:rsid w:val="001901E6"/>
    <w:rsid w:val="00191305"/>
    <w:rsid w:val="001951A2"/>
    <w:rsid w:val="00195B55"/>
    <w:rsid w:val="001A2FE8"/>
    <w:rsid w:val="001A33AC"/>
    <w:rsid w:val="001A60CF"/>
    <w:rsid w:val="001B7833"/>
    <w:rsid w:val="001C1C51"/>
    <w:rsid w:val="001C7623"/>
    <w:rsid w:val="001D5168"/>
    <w:rsid w:val="001E0ECA"/>
    <w:rsid w:val="001E206F"/>
    <w:rsid w:val="001E5750"/>
    <w:rsid w:val="001E7739"/>
    <w:rsid w:val="001F3DB4"/>
    <w:rsid w:val="001F50CA"/>
    <w:rsid w:val="002007DD"/>
    <w:rsid w:val="00204F40"/>
    <w:rsid w:val="00205DEF"/>
    <w:rsid w:val="00216C8A"/>
    <w:rsid w:val="00217D96"/>
    <w:rsid w:val="00226317"/>
    <w:rsid w:val="00231539"/>
    <w:rsid w:val="0024622C"/>
    <w:rsid w:val="00251892"/>
    <w:rsid w:val="002523E3"/>
    <w:rsid w:val="00265063"/>
    <w:rsid w:val="00266FA5"/>
    <w:rsid w:val="00272918"/>
    <w:rsid w:val="002920F4"/>
    <w:rsid w:val="002940F3"/>
    <w:rsid w:val="00295842"/>
    <w:rsid w:val="002B290E"/>
    <w:rsid w:val="002B3574"/>
    <w:rsid w:val="002B6B74"/>
    <w:rsid w:val="002C5641"/>
    <w:rsid w:val="002C6AE7"/>
    <w:rsid w:val="002C7DDD"/>
    <w:rsid w:val="002D2D4B"/>
    <w:rsid w:val="002D3805"/>
    <w:rsid w:val="002E1B36"/>
    <w:rsid w:val="002E66AE"/>
    <w:rsid w:val="002E7763"/>
    <w:rsid w:val="002F2426"/>
    <w:rsid w:val="002F5842"/>
    <w:rsid w:val="00306CB7"/>
    <w:rsid w:val="003111F5"/>
    <w:rsid w:val="00317505"/>
    <w:rsid w:val="003242EE"/>
    <w:rsid w:val="0033561E"/>
    <w:rsid w:val="00336200"/>
    <w:rsid w:val="00337418"/>
    <w:rsid w:val="00343D90"/>
    <w:rsid w:val="00351D83"/>
    <w:rsid w:val="00353E46"/>
    <w:rsid w:val="00356874"/>
    <w:rsid w:val="003576C4"/>
    <w:rsid w:val="00366AB0"/>
    <w:rsid w:val="0037388E"/>
    <w:rsid w:val="0037437C"/>
    <w:rsid w:val="00376E1D"/>
    <w:rsid w:val="0038146B"/>
    <w:rsid w:val="0038340F"/>
    <w:rsid w:val="00384457"/>
    <w:rsid w:val="00384F24"/>
    <w:rsid w:val="003A32B2"/>
    <w:rsid w:val="003A47DD"/>
    <w:rsid w:val="003A634F"/>
    <w:rsid w:val="003B5497"/>
    <w:rsid w:val="003B588A"/>
    <w:rsid w:val="003B621D"/>
    <w:rsid w:val="003C4388"/>
    <w:rsid w:val="003C4C27"/>
    <w:rsid w:val="003C7F7B"/>
    <w:rsid w:val="003D2EAA"/>
    <w:rsid w:val="003E054C"/>
    <w:rsid w:val="003E27A0"/>
    <w:rsid w:val="003E3872"/>
    <w:rsid w:val="003F18EB"/>
    <w:rsid w:val="004044AA"/>
    <w:rsid w:val="004044C8"/>
    <w:rsid w:val="00404F3F"/>
    <w:rsid w:val="00410B5D"/>
    <w:rsid w:val="00413BEC"/>
    <w:rsid w:val="004156F5"/>
    <w:rsid w:val="00421A4B"/>
    <w:rsid w:val="0042265E"/>
    <w:rsid w:val="00424ED7"/>
    <w:rsid w:val="00425258"/>
    <w:rsid w:val="00426217"/>
    <w:rsid w:val="00430437"/>
    <w:rsid w:val="00431A80"/>
    <w:rsid w:val="00435A89"/>
    <w:rsid w:val="00452267"/>
    <w:rsid w:val="00453307"/>
    <w:rsid w:val="00457667"/>
    <w:rsid w:val="00457E36"/>
    <w:rsid w:val="00462F8F"/>
    <w:rsid w:val="00474F4E"/>
    <w:rsid w:val="00481D56"/>
    <w:rsid w:val="00490408"/>
    <w:rsid w:val="00491887"/>
    <w:rsid w:val="004A4C45"/>
    <w:rsid w:val="004A77A4"/>
    <w:rsid w:val="004B0485"/>
    <w:rsid w:val="004B145A"/>
    <w:rsid w:val="004B428E"/>
    <w:rsid w:val="004B4D37"/>
    <w:rsid w:val="004C42F0"/>
    <w:rsid w:val="004C5878"/>
    <w:rsid w:val="004D2C28"/>
    <w:rsid w:val="004D7ECC"/>
    <w:rsid w:val="004E1D73"/>
    <w:rsid w:val="004F551F"/>
    <w:rsid w:val="0051286E"/>
    <w:rsid w:val="00516021"/>
    <w:rsid w:val="00516457"/>
    <w:rsid w:val="005174D0"/>
    <w:rsid w:val="00520A0C"/>
    <w:rsid w:val="00530E37"/>
    <w:rsid w:val="005464A1"/>
    <w:rsid w:val="00546F12"/>
    <w:rsid w:val="0055339C"/>
    <w:rsid w:val="00562B3C"/>
    <w:rsid w:val="00563374"/>
    <w:rsid w:val="00564E40"/>
    <w:rsid w:val="005750E2"/>
    <w:rsid w:val="0058313F"/>
    <w:rsid w:val="00584626"/>
    <w:rsid w:val="00585859"/>
    <w:rsid w:val="00586FBC"/>
    <w:rsid w:val="005879C9"/>
    <w:rsid w:val="00592E81"/>
    <w:rsid w:val="00596FF8"/>
    <w:rsid w:val="005A3C6B"/>
    <w:rsid w:val="005B1EA5"/>
    <w:rsid w:val="005D7176"/>
    <w:rsid w:val="005E1F24"/>
    <w:rsid w:val="005E439D"/>
    <w:rsid w:val="005E73F1"/>
    <w:rsid w:val="005F07EF"/>
    <w:rsid w:val="005F2F9F"/>
    <w:rsid w:val="00600B2E"/>
    <w:rsid w:val="00607CEB"/>
    <w:rsid w:val="006123CF"/>
    <w:rsid w:val="00613299"/>
    <w:rsid w:val="0061762D"/>
    <w:rsid w:val="00630557"/>
    <w:rsid w:val="00634238"/>
    <w:rsid w:val="00635FBC"/>
    <w:rsid w:val="00637728"/>
    <w:rsid w:val="0064113A"/>
    <w:rsid w:val="00644002"/>
    <w:rsid w:val="006458B1"/>
    <w:rsid w:val="00650529"/>
    <w:rsid w:val="00650BAB"/>
    <w:rsid w:val="00651737"/>
    <w:rsid w:val="006531E0"/>
    <w:rsid w:val="00653441"/>
    <w:rsid w:val="006671BF"/>
    <w:rsid w:val="00672A7D"/>
    <w:rsid w:val="00681416"/>
    <w:rsid w:val="00697B76"/>
    <w:rsid w:val="006A06F5"/>
    <w:rsid w:val="006A0ED2"/>
    <w:rsid w:val="006A33CC"/>
    <w:rsid w:val="006A7B25"/>
    <w:rsid w:val="006B0A73"/>
    <w:rsid w:val="006B5A6B"/>
    <w:rsid w:val="006C0F82"/>
    <w:rsid w:val="006C332E"/>
    <w:rsid w:val="006C5901"/>
    <w:rsid w:val="006D6372"/>
    <w:rsid w:val="006D6E5C"/>
    <w:rsid w:val="006D7858"/>
    <w:rsid w:val="006E02AF"/>
    <w:rsid w:val="006E0786"/>
    <w:rsid w:val="006E6B4A"/>
    <w:rsid w:val="006E7449"/>
    <w:rsid w:val="006E7FB1"/>
    <w:rsid w:val="006F0BCC"/>
    <w:rsid w:val="006F2604"/>
    <w:rsid w:val="006F5319"/>
    <w:rsid w:val="006F55FD"/>
    <w:rsid w:val="006F57BE"/>
    <w:rsid w:val="006F5D21"/>
    <w:rsid w:val="00711BE3"/>
    <w:rsid w:val="00713942"/>
    <w:rsid w:val="00717A76"/>
    <w:rsid w:val="00723238"/>
    <w:rsid w:val="00724FA7"/>
    <w:rsid w:val="00725415"/>
    <w:rsid w:val="00727505"/>
    <w:rsid w:val="00731581"/>
    <w:rsid w:val="007401D5"/>
    <w:rsid w:val="00741B9E"/>
    <w:rsid w:val="00743DAC"/>
    <w:rsid w:val="007444C1"/>
    <w:rsid w:val="0075337B"/>
    <w:rsid w:val="00755CD4"/>
    <w:rsid w:val="00757F96"/>
    <w:rsid w:val="00764595"/>
    <w:rsid w:val="00764A17"/>
    <w:rsid w:val="00785285"/>
    <w:rsid w:val="0078529D"/>
    <w:rsid w:val="00787DC1"/>
    <w:rsid w:val="007936D8"/>
    <w:rsid w:val="00794070"/>
    <w:rsid w:val="007A713B"/>
    <w:rsid w:val="007B5F28"/>
    <w:rsid w:val="007B64E5"/>
    <w:rsid w:val="007C2F04"/>
    <w:rsid w:val="007E652E"/>
    <w:rsid w:val="007F3A17"/>
    <w:rsid w:val="007F5B8B"/>
    <w:rsid w:val="00817E9A"/>
    <w:rsid w:val="00830D57"/>
    <w:rsid w:val="00843147"/>
    <w:rsid w:val="00853E89"/>
    <w:rsid w:val="00860B07"/>
    <w:rsid w:val="00860B2D"/>
    <w:rsid w:val="008616F6"/>
    <w:rsid w:val="0086259C"/>
    <w:rsid w:val="00883F24"/>
    <w:rsid w:val="00897E1F"/>
    <w:rsid w:val="008B2CB4"/>
    <w:rsid w:val="008B6404"/>
    <w:rsid w:val="008C2C21"/>
    <w:rsid w:val="008C5578"/>
    <w:rsid w:val="008C7DD3"/>
    <w:rsid w:val="008E000B"/>
    <w:rsid w:val="008E2926"/>
    <w:rsid w:val="008E35C6"/>
    <w:rsid w:val="008E3F49"/>
    <w:rsid w:val="008E7E0E"/>
    <w:rsid w:val="008F243B"/>
    <w:rsid w:val="008F4675"/>
    <w:rsid w:val="00904A66"/>
    <w:rsid w:val="00907F4C"/>
    <w:rsid w:val="00910175"/>
    <w:rsid w:val="0092287F"/>
    <w:rsid w:val="0092495B"/>
    <w:rsid w:val="0092660E"/>
    <w:rsid w:val="00936457"/>
    <w:rsid w:val="00936519"/>
    <w:rsid w:val="00941DA3"/>
    <w:rsid w:val="00942C0C"/>
    <w:rsid w:val="009539E3"/>
    <w:rsid w:val="00954A5E"/>
    <w:rsid w:val="009551B2"/>
    <w:rsid w:val="00964625"/>
    <w:rsid w:val="00981AEE"/>
    <w:rsid w:val="00981C1D"/>
    <w:rsid w:val="0099109C"/>
    <w:rsid w:val="009936DB"/>
    <w:rsid w:val="00993CFC"/>
    <w:rsid w:val="009A1DC2"/>
    <w:rsid w:val="009B0AEB"/>
    <w:rsid w:val="009B7206"/>
    <w:rsid w:val="009C0914"/>
    <w:rsid w:val="009C27E5"/>
    <w:rsid w:val="009D71E8"/>
    <w:rsid w:val="009E104B"/>
    <w:rsid w:val="009E6CF4"/>
    <w:rsid w:val="009E7DE4"/>
    <w:rsid w:val="009F3BBD"/>
    <w:rsid w:val="009F44EF"/>
    <w:rsid w:val="00A063DD"/>
    <w:rsid w:val="00A112B5"/>
    <w:rsid w:val="00A14EEA"/>
    <w:rsid w:val="00A16D4D"/>
    <w:rsid w:val="00A3623C"/>
    <w:rsid w:val="00A44FBB"/>
    <w:rsid w:val="00A50104"/>
    <w:rsid w:val="00A522E0"/>
    <w:rsid w:val="00A55037"/>
    <w:rsid w:val="00A57564"/>
    <w:rsid w:val="00A63579"/>
    <w:rsid w:val="00A638AC"/>
    <w:rsid w:val="00A67C9E"/>
    <w:rsid w:val="00A727E5"/>
    <w:rsid w:val="00A74779"/>
    <w:rsid w:val="00A748B5"/>
    <w:rsid w:val="00A80A32"/>
    <w:rsid w:val="00A827D2"/>
    <w:rsid w:val="00A82A98"/>
    <w:rsid w:val="00A82D16"/>
    <w:rsid w:val="00A872CC"/>
    <w:rsid w:val="00A95F75"/>
    <w:rsid w:val="00A96B83"/>
    <w:rsid w:val="00AA355B"/>
    <w:rsid w:val="00AA3703"/>
    <w:rsid w:val="00AA42E5"/>
    <w:rsid w:val="00AA4713"/>
    <w:rsid w:val="00AB24FA"/>
    <w:rsid w:val="00AB4241"/>
    <w:rsid w:val="00AD57CA"/>
    <w:rsid w:val="00AD7B5A"/>
    <w:rsid w:val="00AE229F"/>
    <w:rsid w:val="00AF5E20"/>
    <w:rsid w:val="00AF76F6"/>
    <w:rsid w:val="00B002FA"/>
    <w:rsid w:val="00B00327"/>
    <w:rsid w:val="00B00E37"/>
    <w:rsid w:val="00B024B3"/>
    <w:rsid w:val="00B11DE8"/>
    <w:rsid w:val="00B179ED"/>
    <w:rsid w:val="00B20E18"/>
    <w:rsid w:val="00B348A4"/>
    <w:rsid w:val="00B469F2"/>
    <w:rsid w:val="00B572C4"/>
    <w:rsid w:val="00B60858"/>
    <w:rsid w:val="00B670AF"/>
    <w:rsid w:val="00B74D4E"/>
    <w:rsid w:val="00B80219"/>
    <w:rsid w:val="00B80E7F"/>
    <w:rsid w:val="00B90F46"/>
    <w:rsid w:val="00B9697B"/>
    <w:rsid w:val="00BA19A5"/>
    <w:rsid w:val="00BA1A52"/>
    <w:rsid w:val="00BA3860"/>
    <w:rsid w:val="00BC3ED6"/>
    <w:rsid w:val="00BC67F6"/>
    <w:rsid w:val="00BD095A"/>
    <w:rsid w:val="00BD2004"/>
    <w:rsid w:val="00BD4B12"/>
    <w:rsid w:val="00BD4B46"/>
    <w:rsid w:val="00BE1F29"/>
    <w:rsid w:val="00BE2F92"/>
    <w:rsid w:val="00BF0D5F"/>
    <w:rsid w:val="00C01466"/>
    <w:rsid w:val="00C05B41"/>
    <w:rsid w:val="00C11EB4"/>
    <w:rsid w:val="00C12746"/>
    <w:rsid w:val="00C20F21"/>
    <w:rsid w:val="00C25827"/>
    <w:rsid w:val="00C31BB8"/>
    <w:rsid w:val="00C3252E"/>
    <w:rsid w:val="00C32741"/>
    <w:rsid w:val="00C373EA"/>
    <w:rsid w:val="00C44C6F"/>
    <w:rsid w:val="00C50991"/>
    <w:rsid w:val="00C60900"/>
    <w:rsid w:val="00C60C3F"/>
    <w:rsid w:val="00C621C1"/>
    <w:rsid w:val="00C62989"/>
    <w:rsid w:val="00C65CBB"/>
    <w:rsid w:val="00C7768D"/>
    <w:rsid w:val="00C80F37"/>
    <w:rsid w:val="00C82478"/>
    <w:rsid w:val="00C97A7F"/>
    <w:rsid w:val="00CA6583"/>
    <w:rsid w:val="00CA71B9"/>
    <w:rsid w:val="00CA7695"/>
    <w:rsid w:val="00CB5B17"/>
    <w:rsid w:val="00CC0CEB"/>
    <w:rsid w:val="00CC4443"/>
    <w:rsid w:val="00CC5CAF"/>
    <w:rsid w:val="00CD4219"/>
    <w:rsid w:val="00CE337C"/>
    <w:rsid w:val="00CF5A35"/>
    <w:rsid w:val="00CF65C2"/>
    <w:rsid w:val="00D005F1"/>
    <w:rsid w:val="00D0391E"/>
    <w:rsid w:val="00D06874"/>
    <w:rsid w:val="00D173F7"/>
    <w:rsid w:val="00D200C5"/>
    <w:rsid w:val="00D20203"/>
    <w:rsid w:val="00D204E0"/>
    <w:rsid w:val="00D21354"/>
    <w:rsid w:val="00D2207C"/>
    <w:rsid w:val="00D22400"/>
    <w:rsid w:val="00D278BA"/>
    <w:rsid w:val="00D33FE5"/>
    <w:rsid w:val="00D3578A"/>
    <w:rsid w:val="00D35CB5"/>
    <w:rsid w:val="00D4463C"/>
    <w:rsid w:val="00D501EE"/>
    <w:rsid w:val="00D517DC"/>
    <w:rsid w:val="00D5590D"/>
    <w:rsid w:val="00D618E4"/>
    <w:rsid w:val="00D61DA5"/>
    <w:rsid w:val="00D706FE"/>
    <w:rsid w:val="00D875ED"/>
    <w:rsid w:val="00D877D0"/>
    <w:rsid w:val="00D90013"/>
    <w:rsid w:val="00D91B9C"/>
    <w:rsid w:val="00D92C1B"/>
    <w:rsid w:val="00D92F5F"/>
    <w:rsid w:val="00D94CC7"/>
    <w:rsid w:val="00DA1AF4"/>
    <w:rsid w:val="00DB03A2"/>
    <w:rsid w:val="00DB0987"/>
    <w:rsid w:val="00DB0C60"/>
    <w:rsid w:val="00DC2282"/>
    <w:rsid w:val="00DC641A"/>
    <w:rsid w:val="00DD5ED1"/>
    <w:rsid w:val="00DD6B7D"/>
    <w:rsid w:val="00DD6E14"/>
    <w:rsid w:val="00DE15AC"/>
    <w:rsid w:val="00DF611C"/>
    <w:rsid w:val="00E061EC"/>
    <w:rsid w:val="00E12902"/>
    <w:rsid w:val="00E13E51"/>
    <w:rsid w:val="00E25DFA"/>
    <w:rsid w:val="00E4068E"/>
    <w:rsid w:val="00E43EAD"/>
    <w:rsid w:val="00E62D01"/>
    <w:rsid w:val="00E62DCB"/>
    <w:rsid w:val="00E651DD"/>
    <w:rsid w:val="00E66558"/>
    <w:rsid w:val="00E70D81"/>
    <w:rsid w:val="00E726A6"/>
    <w:rsid w:val="00E77833"/>
    <w:rsid w:val="00E86F05"/>
    <w:rsid w:val="00EA3A2A"/>
    <w:rsid w:val="00EA58AA"/>
    <w:rsid w:val="00EB2DA2"/>
    <w:rsid w:val="00EB4556"/>
    <w:rsid w:val="00EB64C8"/>
    <w:rsid w:val="00ED02E3"/>
    <w:rsid w:val="00ED5108"/>
    <w:rsid w:val="00ED7852"/>
    <w:rsid w:val="00F012CA"/>
    <w:rsid w:val="00F01752"/>
    <w:rsid w:val="00F02A9B"/>
    <w:rsid w:val="00F0355A"/>
    <w:rsid w:val="00F24A7E"/>
    <w:rsid w:val="00F252BC"/>
    <w:rsid w:val="00F26082"/>
    <w:rsid w:val="00F323B0"/>
    <w:rsid w:val="00F33DC0"/>
    <w:rsid w:val="00F62587"/>
    <w:rsid w:val="00F63E9E"/>
    <w:rsid w:val="00F70171"/>
    <w:rsid w:val="00F73414"/>
    <w:rsid w:val="00F75E6C"/>
    <w:rsid w:val="00F76843"/>
    <w:rsid w:val="00F776E1"/>
    <w:rsid w:val="00F925EB"/>
    <w:rsid w:val="00FA6A99"/>
    <w:rsid w:val="00FA6DD0"/>
    <w:rsid w:val="00FC28DF"/>
    <w:rsid w:val="00FD57B0"/>
    <w:rsid w:val="00FE3136"/>
    <w:rsid w:val="00FE50A3"/>
    <w:rsid w:val="00FE6E6C"/>
    <w:rsid w:val="00FF369D"/>
    <w:rsid w:val="00FF5713"/>
    <w:rsid w:val="00FF6FB0"/>
    <w:rsid w:val="032DB07E"/>
    <w:rsid w:val="03DCFB51"/>
    <w:rsid w:val="04E5F05B"/>
    <w:rsid w:val="052C834D"/>
    <w:rsid w:val="05B6D577"/>
    <w:rsid w:val="06517B97"/>
    <w:rsid w:val="069AA0E3"/>
    <w:rsid w:val="07FFD3D3"/>
    <w:rsid w:val="088F4E9C"/>
    <w:rsid w:val="0967B666"/>
    <w:rsid w:val="0A1B1714"/>
    <w:rsid w:val="0B240EAF"/>
    <w:rsid w:val="0CEEFDB5"/>
    <w:rsid w:val="0D72C750"/>
    <w:rsid w:val="0E6F6AF5"/>
    <w:rsid w:val="0F04E1AA"/>
    <w:rsid w:val="0F313DB8"/>
    <w:rsid w:val="12246368"/>
    <w:rsid w:val="13173609"/>
    <w:rsid w:val="14478D2B"/>
    <w:rsid w:val="1539821F"/>
    <w:rsid w:val="16CDE274"/>
    <w:rsid w:val="183672A9"/>
    <w:rsid w:val="1A172959"/>
    <w:rsid w:val="1A86AFD0"/>
    <w:rsid w:val="1B126C2E"/>
    <w:rsid w:val="1B910B6C"/>
    <w:rsid w:val="1C8646C0"/>
    <w:rsid w:val="1CBF4D92"/>
    <w:rsid w:val="1CFCAC10"/>
    <w:rsid w:val="1D134055"/>
    <w:rsid w:val="21DB4CCC"/>
    <w:rsid w:val="230E7AF4"/>
    <w:rsid w:val="2497129E"/>
    <w:rsid w:val="2572CA68"/>
    <w:rsid w:val="25A3702E"/>
    <w:rsid w:val="2801AE2F"/>
    <w:rsid w:val="2860AB8E"/>
    <w:rsid w:val="28F18D76"/>
    <w:rsid w:val="295172BD"/>
    <w:rsid w:val="2A55BACC"/>
    <w:rsid w:val="2B04EA9B"/>
    <w:rsid w:val="2B6CE598"/>
    <w:rsid w:val="2C8F3770"/>
    <w:rsid w:val="2FFB967E"/>
    <w:rsid w:val="3122D17B"/>
    <w:rsid w:val="31CC4DD9"/>
    <w:rsid w:val="348E5113"/>
    <w:rsid w:val="36629500"/>
    <w:rsid w:val="37399839"/>
    <w:rsid w:val="380BAE89"/>
    <w:rsid w:val="3936685A"/>
    <w:rsid w:val="3A3F1ACF"/>
    <w:rsid w:val="3A90D288"/>
    <w:rsid w:val="3B6B96B7"/>
    <w:rsid w:val="3BC73350"/>
    <w:rsid w:val="3BE13FA2"/>
    <w:rsid w:val="3E4DDC2B"/>
    <w:rsid w:val="3EA4202B"/>
    <w:rsid w:val="40F3BC65"/>
    <w:rsid w:val="418407A1"/>
    <w:rsid w:val="4187DA8C"/>
    <w:rsid w:val="41BD232C"/>
    <w:rsid w:val="42261D86"/>
    <w:rsid w:val="43D3A408"/>
    <w:rsid w:val="43EC71FC"/>
    <w:rsid w:val="457D6D2A"/>
    <w:rsid w:val="45E263D0"/>
    <w:rsid w:val="4752FA1E"/>
    <w:rsid w:val="491E3A64"/>
    <w:rsid w:val="49D1786D"/>
    <w:rsid w:val="4A75A74D"/>
    <w:rsid w:val="4B249CC0"/>
    <w:rsid w:val="4BF69EA0"/>
    <w:rsid w:val="4C1DB3F3"/>
    <w:rsid w:val="4D345187"/>
    <w:rsid w:val="4DD86BA1"/>
    <w:rsid w:val="4E3D2416"/>
    <w:rsid w:val="4E8D2A33"/>
    <w:rsid w:val="4EA6068C"/>
    <w:rsid w:val="4EBC22A4"/>
    <w:rsid w:val="4EDF984D"/>
    <w:rsid w:val="4EEE74D4"/>
    <w:rsid w:val="4F7B6CB2"/>
    <w:rsid w:val="51AB7CE0"/>
    <w:rsid w:val="5529E3C0"/>
    <w:rsid w:val="556F5E97"/>
    <w:rsid w:val="56A2DB2D"/>
    <w:rsid w:val="5721C169"/>
    <w:rsid w:val="582A7AD9"/>
    <w:rsid w:val="58B3727D"/>
    <w:rsid w:val="58B44EE7"/>
    <w:rsid w:val="59720B28"/>
    <w:rsid w:val="5ADF378D"/>
    <w:rsid w:val="5BA748C6"/>
    <w:rsid w:val="5C40C457"/>
    <w:rsid w:val="5D844105"/>
    <w:rsid w:val="5F3A7B6B"/>
    <w:rsid w:val="604D0A58"/>
    <w:rsid w:val="6130D754"/>
    <w:rsid w:val="617B4808"/>
    <w:rsid w:val="625D1A15"/>
    <w:rsid w:val="69CDB45C"/>
    <w:rsid w:val="6A244581"/>
    <w:rsid w:val="6D28B1AF"/>
    <w:rsid w:val="6D616F43"/>
    <w:rsid w:val="6D6B8B5B"/>
    <w:rsid w:val="6DEB5F08"/>
    <w:rsid w:val="6EB73EE5"/>
    <w:rsid w:val="70727761"/>
    <w:rsid w:val="70DBAE45"/>
    <w:rsid w:val="734E884C"/>
    <w:rsid w:val="740C4151"/>
    <w:rsid w:val="75FD49E6"/>
    <w:rsid w:val="7617EDEA"/>
    <w:rsid w:val="768097AC"/>
    <w:rsid w:val="771C67B3"/>
    <w:rsid w:val="7990CDD3"/>
    <w:rsid w:val="79C07ABE"/>
    <w:rsid w:val="7BF3696E"/>
    <w:rsid w:val="7C509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1" w:customStyle="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educationendowmentfoundation.org.uk/education-evidence/teaching-learning-toolkit/arts-participation"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s://educationendowmentfoundation.org.uk/education-evidence/teaching-learning-toolkit/physical-activity"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keywords/>
  <dc:description>Master-ET-v3.8</dc:description>
  <lastModifiedBy>N Ryan</lastModifiedBy>
  <revision>57</revision>
  <lastPrinted>2024-12-14T16:32:00.0000000Z</lastPrinted>
  <dcterms:created xsi:type="dcterms:W3CDTF">2024-12-14T16:22:00.0000000Z</dcterms:created>
  <dcterms:modified xsi:type="dcterms:W3CDTF">2025-12-11T10:39:26.2566439Z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